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A9F" w:rsidRPr="00DD3AC2" w:rsidRDefault="0019112F" w:rsidP="002B6375">
      <w:pPr>
        <w:spacing w:after="0" w:line="360" w:lineRule="auto"/>
        <w:jc w:val="both"/>
        <w:rPr>
          <w:rFonts w:ascii="Times New Roman" w:hAnsi="Times New Roman" w:cs="Times New Roman"/>
          <w:b/>
          <w:color w:val="000000" w:themeColor="text1"/>
          <w:sz w:val="28"/>
          <w:szCs w:val="28"/>
        </w:rPr>
      </w:pPr>
      <w:r w:rsidRPr="00DD3AC2">
        <w:rPr>
          <w:rFonts w:ascii="Times New Roman" w:hAnsi="Times New Roman" w:cs="Times New Roman"/>
          <w:b/>
          <w:color w:val="000000" w:themeColor="text1"/>
          <w:sz w:val="28"/>
          <w:szCs w:val="28"/>
        </w:rPr>
        <w:t xml:space="preserve">CASE REVIEW: </w:t>
      </w:r>
      <w:r w:rsidRPr="00DD3AC2">
        <w:rPr>
          <w:rFonts w:ascii="Times New Roman" w:hAnsi="Times New Roman" w:cs="Times New Roman"/>
          <w:b/>
          <w:i/>
          <w:color w:val="000000" w:themeColor="text1"/>
          <w:sz w:val="28"/>
          <w:szCs w:val="28"/>
        </w:rPr>
        <w:t>TAAN V. SCOA NIG. PLC</w:t>
      </w:r>
      <w:r w:rsidRPr="00DD3AC2">
        <w:rPr>
          <w:rFonts w:ascii="Times New Roman" w:hAnsi="Times New Roman" w:cs="Times New Roman"/>
          <w:b/>
          <w:color w:val="000000" w:themeColor="text1"/>
          <w:sz w:val="28"/>
          <w:szCs w:val="28"/>
        </w:rPr>
        <w:t>.</w:t>
      </w:r>
      <w:r w:rsidR="00524275">
        <w:rPr>
          <w:rFonts w:ascii="Times New Roman" w:hAnsi="Times New Roman" w:cs="Times New Roman"/>
          <w:b/>
          <w:color w:val="000000" w:themeColor="text1"/>
          <w:sz w:val="28"/>
          <w:szCs w:val="28"/>
        </w:rPr>
        <w:t xml:space="preserve"> AND </w:t>
      </w:r>
      <w:r w:rsidRPr="00DD3AC2">
        <w:rPr>
          <w:rFonts w:ascii="Times New Roman" w:hAnsi="Times New Roman" w:cs="Times New Roman"/>
          <w:b/>
          <w:color w:val="000000" w:themeColor="text1"/>
          <w:sz w:val="28"/>
          <w:szCs w:val="28"/>
        </w:rPr>
        <w:t>THE ADMISSIBILITY OF UNREGISTER</w:t>
      </w:r>
      <w:r w:rsidR="00F20D81" w:rsidRPr="00DD3AC2">
        <w:rPr>
          <w:rFonts w:ascii="Times New Roman" w:hAnsi="Times New Roman" w:cs="Times New Roman"/>
          <w:b/>
          <w:color w:val="000000" w:themeColor="text1"/>
          <w:sz w:val="28"/>
          <w:szCs w:val="28"/>
        </w:rPr>
        <w:t>ED REGISTRABLE LAND INSTRUMENTS</w:t>
      </w:r>
      <w:r w:rsidR="000818D8" w:rsidRPr="00DD3AC2">
        <w:rPr>
          <w:rFonts w:ascii="Times New Roman" w:hAnsi="Times New Roman" w:cs="Times New Roman"/>
          <w:b/>
          <w:color w:val="000000" w:themeColor="text1"/>
          <w:sz w:val="28"/>
          <w:szCs w:val="28"/>
        </w:rPr>
        <w:t xml:space="preserve"> IN EVIDENCE</w:t>
      </w:r>
    </w:p>
    <w:p w:rsidR="00307D96" w:rsidRDefault="00307D96" w:rsidP="002B637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PREAMBLE </w:t>
      </w:r>
    </w:p>
    <w:p w:rsidR="00B17F15" w:rsidRPr="005213C9" w:rsidRDefault="00B17F15" w:rsidP="001D6536">
      <w:pPr>
        <w:tabs>
          <w:tab w:val="left" w:pos="745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value of an unregistered registrable </w:t>
      </w:r>
      <w:r w:rsidR="00CD2C8B">
        <w:rPr>
          <w:rFonts w:ascii="Times New Roman" w:hAnsi="Times New Roman" w:cs="Times New Roman"/>
          <w:sz w:val="24"/>
          <w:szCs w:val="24"/>
        </w:rPr>
        <w:t>land instrument in evidence? This question has baffled advocates and legal</w:t>
      </w:r>
      <w:r w:rsidR="00C367A9">
        <w:rPr>
          <w:rFonts w:ascii="Times New Roman" w:hAnsi="Times New Roman" w:cs="Times New Roman"/>
          <w:sz w:val="24"/>
          <w:szCs w:val="24"/>
        </w:rPr>
        <w:t xml:space="preserve"> scholars for several years, with the vast majority of legal minds affiliated to any of two camps: those </w:t>
      </w:r>
      <w:r w:rsidR="004E5382">
        <w:rPr>
          <w:rFonts w:ascii="Times New Roman" w:hAnsi="Times New Roman" w:cs="Times New Roman"/>
          <w:sz w:val="24"/>
          <w:szCs w:val="24"/>
        </w:rPr>
        <w:t>who a</w:t>
      </w:r>
      <w:r w:rsidR="00C367A9">
        <w:rPr>
          <w:rFonts w:ascii="Times New Roman" w:hAnsi="Times New Roman" w:cs="Times New Roman"/>
          <w:sz w:val="24"/>
          <w:szCs w:val="24"/>
        </w:rPr>
        <w:t xml:space="preserve">re of the view that such instruments are strictly inadmissible and of no relevance in legal proceedings, and the other polar side who opine that state Laws, such as the Lands Instruments Registration Law have no bearing on the admissibility or otherwise of documents that have not been so declared by the </w:t>
      </w:r>
      <w:r w:rsidR="00C367A9" w:rsidRPr="00C367A9">
        <w:rPr>
          <w:rFonts w:ascii="Times New Roman" w:hAnsi="Times New Roman" w:cs="Times New Roman"/>
          <w:i/>
          <w:sz w:val="24"/>
          <w:szCs w:val="24"/>
        </w:rPr>
        <w:t>Evidence Act 2011 (now 2023)</w:t>
      </w:r>
      <w:r w:rsidR="00C367A9">
        <w:rPr>
          <w:rFonts w:ascii="Times New Roman" w:hAnsi="Times New Roman" w:cs="Times New Roman"/>
          <w:sz w:val="24"/>
          <w:szCs w:val="24"/>
        </w:rPr>
        <w:t>. The</w:t>
      </w:r>
      <w:r w:rsidR="007A7593">
        <w:rPr>
          <w:rFonts w:ascii="Times New Roman" w:hAnsi="Times New Roman" w:cs="Times New Roman"/>
          <w:sz w:val="24"/>
          <w:szCs w:val="24"/>
        </w:rPr>
        <w:t xml:space="preserve"> bewilderment of legal practitioners and scholars on the implications of tendering an unregistered registrable land instrument in evidence might have been precipitated by the Supreme Court of Nigeria’s seemingly contradictory decisions in two respective cases, </w:t>
      </w:r>
      <w:r w:rsidR="007A7593" w:rsidRPr="007A7593">
        <w:rPr>
          <w:rFonts w:ascii="Times New Roman" w:hAnsi="Times New Roman" w:cs="Times New Roman"/>
          <w:i/>
          <w:sz w:val="24"/>
          <w:szCs w:val="24"/>
        </w:rPr>
        <w:t>Benjamin v. Kalio</w:t>
      </w:r>
      <w:r w:rsidR="007A7593">
        <w:rPr>
          <w:rFonts w:ascii="Times New Roman" w:hAnsi="Times New Roman" w:cs="Times New Roman"/>
          <w:sz w:val="24"/>
          <w:szCs w:val="24"/>
        </w:rPr>
        <w:t xml:space="preserve"> (2018) </w:t>
      </w:r>
      <w:r w:rsidR="007A7593" w:rsidRPr="007A7593">
        <w:rPr>
          <w:rFonts w:ascii="Times New Roman" w:hAnsi="Times New Roman" w:cs="Times New Roman"/>
          <w:sz w:val="24"/>
          <w:szCs w:val="24"/>
        </w:rPr>
        <w:t>5 NWLR (Pt. 1641) 38</w:t>
      </w:r>
      <w:r w:rsidR="007A7593">
        <w:rPr>
          <w:rFonts w:ascii="Times New Roman" w:hAnsi="Times New Roman" w:cs="Times New Roman"/>
          <w:sz w:val="24"/>
          <w:szCs w:val="24"/>
        </w:rPr>
        <w:t xml:space="preserve"> and </w:t>
      </w:r>
      <w:r w:rsidR="007A7593" w:rsidRPr="007A7593">
        <w:rPr>
          <w:rFonts w:ascii="Times New Roman" w:hAnsi="Times New Roman" w:cs="Times New Roman"/>
          <w:i/>
          <w:sz w:val="24"/>
          <w:szCs w:val="24"/>
        </w:rPr>
        <w:t>Abdullahi v. Adetutu</w:t>
      </w:r>
      <w:r w:rsidR="007A7593" w:rsidRPr="007A7593">
        <w:rPr>
          <w:rFonts w:ascii="Times New Roman" w:hAnsi="Times New Roman" w:cs="Times New Roman"/>
          <w:sz w:val="24"/>
          <w:szCs w:val="24"/>
        </w:rPr>
        <w:t xml:space="preserve"> (2020) 3 NWLR (Pt. 1711) 338</w:t>
      </w:r>
      <w:r w:rsidR="007A7593">
        <w:rPr>
          <w:rFonts w:ascii="Times New Roman" w:hAnsi="Times New Roman" w:cs="Times New Roman"/>
          <w:sz w:val="24"/>
          <w:szCs w:val="24"/>
        </w:rPr>
        <w:t xml:space="preserve">, especially considering the fact in </w:t>
      </w:r>
      <w:r w:rsidR="007A7593" w:rsidRPr="009040A7">
        <w:rPr>
          <w:rFonts w:ascii="Times New Roman" w:hAnsi="Times New Roman" w:cs="Times New Roman"/>
          <w:i/>
          <w:sz w:val="24"/>
          <w:szCs w:val="24"/>
        </w:rPr>
        <w:t>Adullahi</w:t>
      </w:r>
      <w:r w:rsidR="007A7593">
        <w:rPr>
          <w:rFonts w:ascii="Times New Roman" w:hAnsi="Times New Roman" w:cs="Times New Roman"/>
          <w:sz w:val="24"/>
          <w:szCs w:val="24"/>
        </w:rPr>
        <w:t>’s case, the apex court did not make any reference to its decision in the earlier case. What s</w:t>
      </w:r>
      <w:r w:rsidR="002E7AA6">
        <w:rPr>
          <w:rFonts w:ascii="Times New Roman" w:hAnsi="Times New Roman" w:cs="Times New Roman"/>
          <w:sz w:val="24"/>
          <w:szCs w:val="24"/>
        </w:rPr>
        <w:t>eemed</w:t>
      </w:r>
      <w:r w:rsidR="007A7593">
        <w:rPr>
          <w:rFonts w:ascii="Times New Roman" w:hAnsi="Times New Roman" w:cs="Times New Roman"/>
          <w:sz w:val="24"/>
          <w:szCs w:val="24"/>
        </w:rPr>
        <w:t xml:space="preserve"> to be a bone of contention in legal scholarship and basis for divergent views in legal argumentation by practitioners has finally been </w:t>
      </w:r>
      <w:r w:rsidR="009040A7">
        <w:rPr>
          <w:rFonts w:ascii="Times New Roman" w:hAnsi="Times New Roman" w:cs="Times New Roman"/>
          <w:sz w:val="24"/>
          <w:szCs w:val="24"/>
        </w:rPr>
        <w:t xml:space="preserve">laid to rest by the Supreme Court in the more recent case of </w:t>
      </w:r>
      <w:r w:rsidR="005213C9" w:rsidRPr="005213C9">
        <w:rPr>
          <w:rFonts w:ascii="Times New Roman" w:hAnsi="Times New Roman" w:cs="Times New Roman"/>
          <w:i/>
          <w:sz w:val="24"/>
          <w:szCs w:val="24"/>
        </w:rPr>
        <w:t>Taan v. SCOA Nig. Plc.</w:t>
      </w:r>
      <w:r w:rsidR="005213C9" w:rsidRPr="005213C9">
        <w:rPr>
          <w:rFonts w:ascii="Times New Roman" w:hAnsi="Times New Roman" w:cs="Times New Roman"/>
          <w:sz w:val="24"/>
          <w:szCs w:val="24"/>
        </w:rPr>
        <w:t xml:space="preserve"> (2025) 6 NWLR (Pt. 1985) 1</w:t>
      </w:r>
      <w:r w:rsidR="005213C9">
        <w:rPr>
          <w:rFonts w:ascii="Times New Roman" w:hAnsi="Times New Roman" w:cs="Times New Roman"/>
          <w:sz w:val="24"/>
          <w:szCs w:val="24"/>
        </w:rPr>
        <w:t xml:space="preserve">. </w:t>
      </w:r>
    </w:p>
    <w:p w:rsidR="00307D96" w:rsidRDefault="00307D96" w:rsidP="002B637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FACTS </w:t>
      </w:r>
    </w:p>
    <w:p w:rsidR="001D6536" w:rsidRPr="00D04F37" w:rsidRDefault="009365DA" w:rsidP="001D65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9365DA">
        <w:rPr>
          <w:rFonts w:ascii="Times New Roman" w:hAnsi="Times New Roman" w:cs="Times New Roman"/>
          <w:i/>
          <w:sz w:val="24"/>
          <w:szCs w:val="24"/>
        </w:rPr>
        <w:t>TAAN v. SCOA Nig. Plc</w:t>
      </w:r>
      <w:r>
        <w:rPr>
          <w:rFonts w:ascii="Times New Roman" w:hAnsi="Times New Roman" w:cs="Times New Roman"/>
          <w:sz w:val="24"/>
          <w:szCs w:val="24"/>
        </w:rPr>
        <w:t xml:space="preserve">. bordered on a claim of joint ownership of the property situate at No. 157 Apapa-Oshodi Expressway, Iyana Isolo, Lagos state made by the appellant/plaintiff against the  </w:t>
      </w:r>
      <w:r w:rsidR="00163647">
        <w:rPr>
          <w:rFonts w:ascii="Times New Roman" w:hAnsi="Times New Roman" w:cs="Times New Roman"/>
          <w:sz w:val="24"/>
          <w:szCs w:val="24"/>
        </w:rPr>
        <w:t>1</w:t>
      </w:r>
      <w:r w:rsidR="00163647" w:rsidRPr="00163647">
        <w:rPr>
          <w:rFonts w:ascii="Times New Roman" w:hAnsi="Times New Roman" w:cs="Times New Roman"/>
          <w:sz w:val="24"/>
          <w:szCs w:val="24"/>
          <w:vertAlign w:val="superscript"/>
        </w:rPr>
        <w:t>st</w:t>
      </w:r>
      <w:r w:rsidR="00163647">
        <w:rPr>
          <w:rFonts w:ascii="Times New Roman" w:hAnsi="Times New Roman" w:cs="Times New Roman"/>
          <w:sz w:val="24"/>
          <w:szCs w:val="24"/>
        </w:rPr>
        <w:t xml:space="preserve"> </w:t>
      </w:r>
      <w:r>
        <w:rPr>
          <w:rFonts w:ascii="Times New Roman" w:hAnsi="Times New Roman" w:cs="Times New Roman"/>
          <w:sz w:val="24"/>
          <w:szCs w:val="24"/>
        </w:rPr>
        <w:t>respondent</w:t>
      </w:r>
      <w:r w:rsidR="000C59D7">
        <w:rPr>
          <w:rFonts w:ascii="Times New Roman" w:hAnsi="Times New Roman" w:cs="Times New Roman"/>
          <w:sz w:val="24"/>
          <w:szCs w:val="24"/>
        </w:rPr>
        <w:t xml:space="preserve">/defendant. </w:t>
      </w:r>
      <w:r w:rsidR="007C479D">
        <w:rPr>
          <w:rFonts w:ascii="Times New Roman" w:hAnsi="Times New Roman" w:cs="Times New Roman"/>
          <w:sz w:val="24"/>
          <w:szCs w:val="24"/>
        </w:rPr>
        <w:t>The 2</w:t>
      </w:r>
      <w:r w:rsidR="007C479D" w:rsidRPr="007C479D">
        <w:rPr>
          <w:rFonts w:ascii="Times New Roman" w:hAnsi="Times New Roman" w:cs="Times New Roman"/>
          <w:sz w:val="24"/>
          <w:szCs w:val="24"/>
          <w:vertAlign w:val="superscript"/>
        </w:rPr>
        <w:t>nd</w:t>
      </w:r>
      <w:r w:rsidR="007C479D">
        <w:rPr>
          <w:rFonts w:ascii="Times New Roman" w:hAnsi="Times New Roman" w:cs="Times New Roman"/>
          <w:sz w:val="24"/>
          <w:szCs w:val="24"/>
        </w:rPr>
        <w:t xml:space="preserve"> respondent/defendant</w:t>
      </w:r>
      <w:r w:rsidR="00E84EF2">
        <w:rPr>
          <w:rFonts w:ascii="Times New Roman" w:hAnsi="Times New Roman" w:cs="Times New Roman"/>
          <w:sz w:val="24"/>
          <w:szCs w:val="24"/>
        </w:rPr>
        <w:t xml:space="preserve"> had</w:t>
      </w:r>
      <w:r w:rsidR="00AD0F90">
        <w:rPr>
          <w:rFonts w:ascii="Times New Roman" w:hAnsi="Times New Roman" w:cs="Times New Roman"/>
          <w:sz w:val="24"/>
          <w:szCs w:val="24"/>
        </w:rPr>
        <w:t xml:space="preserve"> </w:t>
      </w:r>
      <w:r w:rsidR="007C479D">
        <w:rPr>
          <w:rFonts w:ascii="Times New Roman" w:hAnsi="Times New Roman" w:cs="Times New Roman"/>
          <w:sz w:val="24"/>
          <w:szCs w:val="24"/>
        </w:rPr>
        <w:t xml:space="preserve">obtained a 99-year lease agreement </w:t>
      </w:r>
      <w:r w:rsidR="00BB5DAB">
        <w:rPr>
          <w:rFonts w:ascii="Times New Roman" w:hAnsi="Times New Roman" w:cs="Times New Roman"/>
          <w:sz w:val="24"/>
          <w:szCs w:val="24"/>
        </w:rPr>
        <w:t xml:space="preserve">in respect of the property </w:t>
      </w:r>
      <w:r w:rsidR="007C479D">
        <w:rPr>
          <w:rFonts w:ascii="Times New Roman" w:hAnsi="Times New Roman" w:cs="Times New Roman"/>
          <w:sz w:val="24"/>
          <w:szCs w:val="24"/>
        </w:rPr>
        <w:t>from</w:t>
      </w:r>
      <w:r w:rsidR="00BB5DAB">
        <w:rPr>
          <w:rFonts w:ascii="Times New Roman" w:hAnsi="Times New Roman" w:cs="Times New Roman"/>
          <w:sz w:val="24"/>
          <w:szCs w:val="24"/>
        </w:rPr>
        <w:t xml:space="preserve"> the original owners </w:t>
      </w:r>
      <w:r w:rsidR="007C479D">
        <w:rPr>
          <w:rFonts w:ascii="Times New Roman" w:hAnsi="Times New Roman" w:cs="Times New Roman"/>
          <w:sz w:val="24"/>
          <w:szCs w:val="24"/>
        </w:rPr>
        <w:t>in January 1981, and on the 1</w:t>
      </w:r>
      <w:r w:rsidR="007C479D" w:rsidRPr="007C479D">
        <w:rPr>
          <w:rFonts w:ascii="Times New Roman" w:hAnsi="Times New Roman" w:cs="Times New Roman"/>
          <w:sz w:val="24"/>
          <w:szCs w:val="24"/>
          <w:vertAlign w:val="superscript"/>
        </w:rPr>
        <w:t>st</w:t>
      </w:r>
      <w:r w:rsidR="007C479D">
        <w:rPr>
          <w:rFonts w:ascii="Times New Roman" w:hAnsi="Times New Roman" w:cs="Times New Roman"/>
          <w:sz w:val="24"/>
          <w:szCs w:val="24"/>
        </w:rPr>
        <w:t xml:space="preserve"> of January, 1982, he executed </w:t>
      </w:r>
      <w:r w:rsidR="00EE5DEB">
        <w:rPr>
          <w:rFonts w:ascii="Times New Roman" w:hAnsi="Times New Roman" w:cs="Times New Roman"/>
          <w:sz w:val="24"/>
          <w:szCs w:val="24"/>
        </w:rPr>
        <w:t>a 25-year su</w:t>
      </w:r>
      <w:r w:rsidR="00D20CAD">
        <w:rPr>
          <w:rFonts w:ascii="Times New Roman" w:hAnsi="Times New Roman" w:cs="Times New Roman"/>
          <w:sz w:val="24"/>
          <w:szCs w:val="24"/>
        </w:rPr>
        <w:t xml:space="preserve">blease in favour of the </w:t>
      </w:r>
      <w:r w:rsidR="00357BE9">
        <w:rPr>
          <w:rFonts w:ascii="Times New Roman" w:hAnsi="Times New Roman" w:cs="Times New Roman"/>
          <w:sz w:val="24"/>
          <w:szCs w:val="24"/>
        </w:rPr>
        <w:t>1</w:t>
      </w:r>
      <w:r w:rsidR="00357BE9" w:rsidRPr="00357BE9">
        <w:rPr>
          <w:rFonts w:ascii="Times New Roman" w:hAnsi="Times New Roman" w:cs="Times New Roman"/>
          <w:sz w:val="24"/>
          <w:szCs w:val="24"/>
          <w:vertAlign w:val="superscript"/>
        </w:rPr>
        <w:t>st</w:t>
      </w:r>
      <w:r w:rsidR="00357BE9">
        <w:rPr>
          <w:rFonts w:ascii="Times New Roman" w:hAnsi="Times New Roman" w:cs="Times New Roman"/>
          <w:sz w:val="24"/>
          <w:szCs w:val="24"/>
        </w:rPr>
        <w:t xml:space="preserve"> </w:t>
      </w:r>
      <w:r w:rsidR="00D20CAD">
        <w:rPr>
          <w:rFonts w:ascii="Times New Roman" w:hAnsi="Times New Roman" w:cs="Times New Roman"/>
          <w:sz w:val="24"/>
          <w:szCs w:val="24"/>
        </w:rPr>
        <w:t xml:space="preserve">respondent which </w:t>
      </w:r>
      <w:r w:rsidR="00870A68">
        <w:rPr>
          <w:rFonts w:ascii="Times New Roman" w:hAnsi="Times New Roman" w:cs="Times New Roman"/>
          <w:sz w:val="24"/>
          <w:szCs w:val="24"/>
        </w:rPr>
        <w:t>expired on the 31</w:t>
      </w:r>
      <w:r w:rsidR="00870A68" w:rsidRPr="00870A68">
        <w:rPr>
          <w:rFonts w:ascii="Times New Roman" w:hAnsi="Times New Roman" w:cs="Times New Roman"/>
          <w:sz w:val="24"/>
          <w:szCs w:val="24"/>
          <w:vertAlign w:val="superscript"/>
        </w:rPr>
        <w:t>st</w:t>
      </w:r>
      <w:r w:rsidR="00870A68">
        <w:rPr>
          <w:rFonts w:ascii="Times New Roman" w:hAnsi="Times New Roman" w:cs="Times New Roman"/>
          <w:sz w:val="24"/>
          <w:szCs w:val="24"/>
        </w:rPr>
        <w:t xml:space="preserve"> </w:t>
      </w:r>
      <w:r w:rsidR="00FE4BD7">
        <w:rPr>
          <w:rFonts w:ascii="Times New Roman" w:hAnsi="Times New Roman" w:cs="Times New Roman"/>
          <w:sz w:val="24"/>
          <w:szCs w:val="24"/>
        </w:rPr>
        <w:t xml:space="preserve">of </w:t>
      </w:r>
      <w:r w:rsidR="00D20CAD" w:rsidRPr="00932E42">
        <w:rPr>
          <w:rFonts w:ascii="Times New Roman" w:hAnsi="Times New Roman" w:cs="Times New Roman"/>
          <w:sz w:val="24"/>
          <w:szCs w:val="24"/>
        </w:rPr>
        <w:t>December, 2006.</w:t>
      </w:r>
      <w:r w:rsidR="00870A68">
        <w:rPr>
          <w:rFonts w:ascii="Times New Roman" w:hAnsi="Times New Roman" w:cs="Times New Roman"/>
          <w:sz w:val="24"/>
          <w:szCs w:val="24"/>
        </w:rPr>
        <w:t xml:space="preserve"> </w:t>
      </w:r>
      <w:r w:rsidR="00870A68" w:rsidRPr="00932E42">
        <w:rPr>
          <w:rFonts w:ascii="Times New Roman" w:hAnsi="Times New Roman" w:cs="Times New Roman"/>
          <w:sz w:val="24"/>
          <w:szCs w:val="24"/>
        </w:rPr>
        <w:t xml:space="preserve">Subsequently, the </w:t>
      </w:r>
      <w:r w:rsidR="00357BE9">
        <w:rPr>
          <w:rFonts w:ascii="Times New Roman" w:hAnsi="Times New Roman" w:cs="Times New Roman"/>
          <w:sz w:val="24"/>
          <w:szCs w:val="24"/>
        </w:rPr>
        <w:t>2</w:t>
      </w:r>
      <w:r w:rsidR="00357BE9" w:rsidRPr="00357BE9">
        <w:rPr>
          <w:rFonts w:ascii="Times New Roman" w:hAnsi="Times New Roman" w:cs="Times New Roman"/>
          <w:sz w:val="24"/>
          <w:szCs w:val="24"/>
          <w:vertAlign w:val="superscript"/>
        </w:rPr>
        <w:t>nd</w:t>
      </w:r>
      <w:r w:rsidR="00357BE9">
        <w:rPr>
          <w:rFonts w:ascii="Times New Roman" w:hAnsi="Times New Roman" w:cs="Times New Roman"/>
          <w:sz w:val="24"/>
          <w:szCs w:val="24"/>
        </w:rPr>
        <w:t xml:space="preserve"> </w:t>
      </w:r>
      <w:r w:rsidR="00870A68" w:rsidRPr="00932E42">
        <w:rPr>
          <w:rFonts w:ascii="Times New Roman" w:hAnsi="Times New Roman" w:cs="Times New Roman"/>
          <w:sz w:val="24"/>
          <w:szCs w:val="24"/>
        </w:rPr>
        <w:t>respondent executed a trust deed and deed of assignment over the property in favour of the third respondent as its bonafide owner.</w:t>
      </w:r>
      <w:r w:rsidR="00DE20FF">
        <w:rPr>
          <w:rFonts w:ascii="Times New Roman" w:hAnsi="Times New Roman" w:cs="Times New Roman"/>
          <w:sz w:val="24"/>
          <w:szCs w:val="24"/>
        </w:rPr>
        <w:t xml:space="preserve"> Though</w:t>
      </w:r>
      <w:r w:rsidR="00870A68">
        <w:rPr>
          <w:rFonts w:ascii="Times New Roman" w:hAnsi="Times New Roman" w:cs="Times New Roman"/>
          <w:sz w:val="24"/>
          <w:szCs w:val="24"/>
        </w:rPr>
        <w:t xml:space="preserve"> the appellant merely served as an intermediary between the 2</w:t>
      </w:r>
      <w:r w:rsidR="00870A68" w:rsidRPr="00870A68">
        <w:rPr>
          <w:rFonts w:ascii="Times New Roman" w:hAnsi="Times New Roman" w:cs="Times New Roman"/>
          <w:sz w:val="24"/>
          <w:szCs w:val="24"/>
          <w:vertAlign w:val="superscript"/>
        </w:rPr>
        <w:t>nd</w:t>
      </w:r>
      <w:r w:rsidR="00870A68">
        <w:rPr>
          <w:rFonts w:ascii="Times New Roman" w:hAnsi="Times New Roman" w:cs="Times New Roman"/>
          <w:sz w:val="24"/>
          <w:szCs w:val="24"/>
        </w:rPr>
        <w:t xml:space="preserve"> respondent and the other respondents in these two transactions, he would later claim a joint ownership of the property by virtue of a deed of agreement dated 25</w:t>
      </w:r>
      <w:r w:rsidR="00870A68" w:rsidRPr="00870A68">
        <w:rPr>
          <w:rFonts w:ascii="Times New Roman" w:hAnsi="Times New Roman" w:cs="Times New Roman"/>
          <w:sz w:val="24"/>
          <w:szCs w:val="24"/>
          <w:vertAlign w:val="superscript"/>
        </w:rPr>
        <w:t>th</w:t>
      </w:r>
      <w:r w:rsidR="00870A68">
        <w:rPr>
          <w:rFonts w:ascii="Times New Roman" w:hAnsi="Times New Roman" w:cs="Times New Roman"/>
          <w:sz w:val="24"/>
          <w:szCs w:val="24"/>
        </w:rPr>
        <w:t xml:space="preserve"> May, 1983, which the 2</w:t>
      </w:r>
      <w:r w:rsidR="00870A68" w:rsidRPr="00870A68">
        <w:rPr>
          <w:rFonts w:ascii="Times New Roman" w:hAnsi="Times New Roman" w:cs="Times New Roman"/>
          <w:sz w:val="24"/>
          <w:szCs w:val="24"/>
          <w:vertAlign w:val="superscript"/>
        </w:rPr>
        <w:t>nd</w:t>
      </w:r>
      <w:r w:rsidR="00870A68">
        <w:rPr>
          <w:rFonts w:ascii="Times New Roman" w:hAnsi="Times New Roman" w:cs="Times New Roman"/>
          <w:sz w:val="24"/>
          <w:szCs w:val="24"/>
        </w:rPr>
        <w:t xml:space="preserve"> respondent purp</w:t>
      </w:r>
      <w:r w:rsidR="00163647">
        <w:rPr>
          <w:rFonts w:ascii="Times New Roman" w:hAnsi="Times New Roman" w:cs="Times New Roman"/>
          <w:sz w:val="24"/>
          <w:szCs w:val="24"/>
        </w:rPr>
        <w:t xml:space="preserve">ortedly executed in his favour. </w:t>
      </w:r>
      <w:r w:rsidR="00D25209">
        <w:rPr>
          <w:rFonts w:ascii="Times New Roman" w:hAnsi="Times New Roman" w:cs="Times New Roman"/>
          <w:sz w:val="24"/>
          <w:szCs w:val="24"/>
        </w:rPr>
        <w:t>The 2</w:t>
      </w:r>
      <w:r w:rsidR="00D25209" w:rsidRPr="00D25209">
        <w:rPr>
          <w:rFonts w:ascii="Times New Roman" w:hAnsi="Times New Roman" w:cs="Times New Roman"/>
          <w:sz w:val="24"/>
          <w:szCs w:val="24"/>
          <w:vertAlign w:val="superscript"/>
        </w:rPr>
        <w:t>nd</w:t>
      </w:r>
      <w:r w:rsidR="00D25209">
        <w:rPr>
          <w:rFonts w:ascii="Times New Roman" w:hAnsi="Times New Roman" w:cs="Times New Roman"/>
          <w:sz w:val="24"/>
          <w:szCs w:val="24"/>
        </w:rPr>
        <w:t xml:space="preserve"> respondent denied having executed the said document, and upon awareness of this action by the appellant/plaintiff join</w:t>
      </w:r>
      <w:r w:rsidR="00AD4868">
        <w:rPr>
          <w:rFonts w:ascii="Times New Roman" w:hAnsi="Times New Roman" w:cs="Times New Roman"/>
          <w:sz w:val="24"/>
          <w:szCs w:val="24"/>
        </w:rPr>
        <w:t>ed</w:t>
      </w:r>
      <w:r w:rsidR="00D25209">
        <w:rPr>
          <w:rFonts w:ascii="Times New Roman" w:hAnsi="Times New Roman" w:cs="Times New Roman"/>
          <w:sz w:val="24"/>
          <w:szCs w:val="24"/>
        </w:rPr>
        <w:t xml:space="preserve"> as a necessary party</w:t>
      </w:r>
      <w:r w:rsidR="006326A2">
        <w:rPr>
          <w:rFonts w:ascii="Times New Roman" w:hAnsi="Times New Roman" w:cs="Times New Roman"/>
          <w:sz w:val="24"/>
          <w:szCs w:val="24"/>
        </w:rPr>
        <w:t xml:space="preserve"> to the action</w:t>
      </w:r>
      <w:r w:rsidR="00D25209">
        <w:rPr>
          <w:rFonts w:ascii="Times New Roman" w:hAnsi="Times New Roman" w:cs="Times New Roman"/>
          <w:sz w:val="24"/>
          <w:szCs w:val="24"/>
        </w:rPr>
        <w:t>, as did the 3</w:t>
      </w:r>
      <w:r w:rsidR="00D25209" w:rsidRPr="00D25209">
        <w:rPr>
          <w:rFonts w:ascii="Times New Roman" w:hAnsi="Times New Roman" w:cs="Times New Roman"/>
          <w:sz w:val="24"/>
          <w:szCs w:val="24"/>
          <w:vertAlign w:val="superscript"/>
        </w:rPr>
        <w:t>rd</w:t>
      </w:r>
      <w:r w:rsidR="00D25209">
        <w:rPr>
          <w:rFonts w:ascii="Times New Roman" w:hAnsi="Times New Roman" w:cs="Times New Roman"/>
          <w:sz w:val="24"/>
          <w:szCs w:val="24"/>
        </w:rPr>
        <w:t xml:space="preserve"> respondent.</w:t>
      </w:r>
    </w:p>
    <w:p w:rsidR="00307D96" w:rsidRDefault="00307D96" w:rsidP="002B637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PRECEDENTS </w:t>
      </w:r>
    </w:p>
    <w:p w:rsidR="00681B36" w:rsidRPr="00683956" w:rsidRDefault="00681B36" w:rsidP="002B6375">
      <w:pPr>
        <w:spacing w:after="0" w:line="360" w:lineRule="auto"/>
        <w:jc w:val="both"/>
        <w:rPr>
          <w:rFonts w:ascii="Times New Roman" w:hAnsi="Times New Roman" w:cs="Times New Roman"/>
          <w:sz w:val="24"/>
          <w:szCs w:val="24"/>
        </w:rPr>
      </w:pPr>
      <w:r w:rsidRPr="00683956">
        <w:rPr>
          <w:rFonts w:ascii="Times New Roman" w:hAnsi="Times New Roman" w:cs="Times New Roman"/>
          <w:sz w:val="24"/>
          <w:szCs w:val="24"/>
        </w:rPr>
        <w:t xml:space="preserve">Before delving into the Supreme Court’s judgment in </w:t>
      </w:r>
      <w:r w:rsidRPr="00683956">
        <w:rPr>
          <w:rFonts w:ascii="Times New Roman" w:hAnsi="Times New Roman" w:cs="Times New Roman"/>
          <w:i/>
          <w:sz w:val="24"/>
          <w:szCs w:val="24"/>
        </w:rPr>
        <w:t>Taan v. SCOA Nig. Plc</w:t>
      </w:r>
      <w:r w:rsidRPr="00683956">
        <w:rPr>
          <w:rFonts w:ascii="Times New Roman" w:hAnsi="Times New Roman" w:cs="Times New Roman"/>
          <w:sz w:val="24"/>
          <w:szCs w:val="24"/>
        </w:rPr>
        <w:t>., it is important we examine some of th</w:t>
      </w:r>
      <w:r w:rsidR="00683956">
        <w:rPr>
          <w:rFonts w:ascii="Times New Roman" w:hAnsi="Times New Roman" w:cs="Times New Roman"/>
          <w:sz w:val="24"/>
          <w:szCs w:val="24"/>
        </w:rPr>
        <w:t>e judicial precedents that have</w:t>
      </w:r>
      <w:r w:rsidR="00D52745">
        <w:rPr>
          <w:rFonts w:ascii="Times New Roman" w:hAnsi="Times New Roman" w:cs="Times New Roman"/>
          <w:sz w:val="24"/>
          <w:szCs w:val="24"/>
        </w:rPr>
        <w:t xml:space="preserve"> for the last few decades shaped the law on the admissibility/inadmissibility of unregistered registrable land instruments in evidence before this legal issue came up once more for determination by the apex court in the 2025 case. The notable judicial precedents on this issue are:</w:t>
      </w:r>
    </w:p>
    <w:p w:rsidR="005C7A80" w:rsidRDefault="009062C1" w:rsidP="002B6375">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Okoye v. Dumez </w:t>
      </w:r>
      <w:r w:rsidRPr="009062C1">
        <w:rPr>
          <w:rFonts w:ascii="Times New Roman" w:hAnsi="Times New Roman" w:cs="Times New Roman"/>
          <w:sz w:val="24"/>
          <w:szCs w:val="24"/>
        </w:rPr>
        <w:t>(1985) 1 NWLR(Pt. 4) 783</w:t>
      </w:r>
      <w:r w:rsidR="00F546CF">
        <w:rPr>
          <w:rFonts w:ascii="Times New Roman" w:hAnsi="Times New Roman" w:cs="Times New Roman"/>
          <w:i/>
          <w:sz w:val="24"/>
          <w:szCs w:val="24"/>
        </w:rPr>
        <w:t>:</w:t>
      </w:r>
    </w:p>
    <w:p w:rsidR="009062C1" w:rsidRPr="00853AD7" w:rsidRDefault="00E3121C" w:rsidP="002B6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one of the locus classicus on property law, the Supreme Court would be called upon to determine the issue, whether </w:t>
      </w:r>
      <w:r w:rsidRPr="00E3121C">
        <w:rPr>
          <w:rFonts w:ascii="Times New Roman" w:hAnsi="Times New Roman" w:cs="Times New Roman"/>
          <w:sz w:val="24"/>
          <w:szCs w:val="24"/>
        </w:rPr>
        <w:t>a Land Instrument which is not registered as required by the Land Instruments Registration Law is not admissible in evidence either as an instrument affecting land or for any other purpose.</w:t>
      </w:r>
      <w:r w:rsidR="003D4DD6">
        <w:rPr>
          <w:rFonts w:ascii="Times New Roman" w:hAnsi="Times New Roman" w:cs="Times New Roman"/>
          <w:sz w:val="24"/>
          <w:szCs w:val="24"/>
        </w:rPr>
        <w:t xml:space="preserve"> </w:t>
      </w:r>
      <w:r w:rsidR="00693E0C">
        <w:rPr>
          <w:rFonts w:ascii="Times New Roman" w:hAnsi="Times New Roman" w:cs="Times New Roman"/>
          <w:sz w:val="24"/>
          <w:szCs w:val="24"/>
        </w:rPr>
        <w:t xml:space="preserve">In its response, the court, per Bello J.S.C. (Presiding) held, </w:t>
      </w:r>
      <w:r w:rsidR="00693E0C" w:rsidRPr="00693E0C">
        <w:rPr>
          <w:rFonts w:ascii="Times New Roman" w:hAnsi="Times New Roman" w:cs="Times New Roman"/>
          <w:b/>
          <w:i/>
          <w:sz w:val="24"/>
          <w:szCs w:val="24"/>
        </w:rPr>
        <w:t>“A registrable instrument which has not been registered is admissible to prove such equitable interest and to prove payment of purchase money or rent.”</w:t>
      </w:r>
    </w:p>
    <w:p w:rsidR="005C7A80" w:rsidRDefault="005C7A80" w:rsidP="002B6375">
      <w:pPr>
        <w:pStyle w:val="ListParagraph"/>
        <w:numPr>
          <w:ilvl w:val="0"/>
          <w:numId w:val="2"/>
        </w:numPr>
        <w:spacing w:after="0" w:line="360" w:lineRule="auto"/>
        <w:jc w:val="both"/>
        <w:rPr>
          <w:rFonts w:ascii="Times New Roman" w:hAnsi="Times New Roman" w:cs="Times New Roman"/>
          <w:i/>
          <w:sz w:val="24"/>
          <w:szCs w:val="24"/>
        </w:rPr>
      </w:pPr>
      <w:r w:rsidRPr="00E42AAF">
        <w:rPr>
          <w:rFonts w:ascii="Times New Roman" w:hAnsi="Times New Roman" w:cs="Times New Roman"/>
          <w:i/>
          <w:sz w:val="24"/>
          <w:szCs w:val="24"/>
        </w:rPr>
        <w:t xml:space="preserve">Benjamin v. Kalio </w:t>
      </w:r>
      <w:r w:rsidR="00E228AC">
        <w:rPr>
          <w:rFonts w:ascii="Times New Roman" w:hAnsi="Times New Roman" w:cs="Times New Roman"/>
          <w:i/>
          <w:sz w:val="24"/>
          <w:szCs w:val="24"/>
        </w:rPr>
        <w:t xml:space="preserve">(supra) </w:t>
      </w:r>
    </w:p>
    <w:p w:rsidR="00853AD7" w:rsidRPr="002611B8" w:rsidRDefault="00853AD7" w:rsidP="002B6375">
      <w:pPr>
        <w:spacing w:line="360" w:lineRule="auto"/>
        <w:jc w:val="both"/>
        <w:rPr>
          <w:rFonts w:ascii="Times New Roman" w:hAnsi="Times New Roman" w:cs="Times New Roman"/>
          <w:sz w:val="24"/>
          <w:szCs w:val="24"/>
        </w:rPr>
      </w:pPr>
      <w:r>
        <w:rPr>
          <w:rFonts w:ascii="Times New Roman" w:hAnsi="Times New Roman" w:cs="Times New Roman"/>
          <w:sz w:val="24"/>
          <w:szCs w:val="24"/>
        </w:rPr>
        <w:t>In this 2018 case, the Supreme Court was called u</w:t>
      </w:r>
      <w:r w:rsidR="00057E71">
        <w:rPr>
          <w:rFonts w:ascii="Times New Roman" w:hAnsi="Times New Roman" w:cs="Times New Roman"/>
          <w:sz w:val="24"/>
          <w:szCs w:val="24"/>
        </w:rPr>
        <w:t xml:space="preserve">pon to examine the admissibility in evidence of a deed of conveyance relied upon by the respondents in the trial court to prove their interest in the land, giving consideration to </w:t>
      </w:r>
      <w:r w:rsidR="00057E71" w:rsidRPr="002611B8">
        <w:rPr>
          <w:rFonts w:ascii="Times New Roman" w:hAnsi="Times New Roman" w:cs="Times New Roman"/>
          <w:i/>
          <w:sz w:val="24"/>
          <w:szCs w:val="24"/>
        </w:rPr>
        <w:t>Section 20 of the Lands Instruments (Preparation and Registration) Law of Rivers State</w:t>
      </w:r>
      <w:r w:rsidR="00057E71">
        <w:rPr>
          <w:rFonts w:ascii="Times New Roman" w:hAnsi="Times New Roman" w:cs="Times New Roman"/>
          <w:sz w:val="24"/>
          <w:szCs w:val="24"/>
        </w:rPr>
        <w:t xml:space="preserve"> which provided that, </w:t>
      </w:r>
      <w:r w:rsidR="002611B8">
        <w:rPr>
          <w:rFonts w:ascii="Times New Roman" w:hAnsi="Times New Roman" w:cs="Times New Roman"/>
          <w:b/>
          <w:i/>
          <w:sz w:val="24"/>
          <w:szCs w:val="24"/>
        </w:rPr>
        <w:t>“</w:t>
      </w:r>
      <w:r w:rsidR="002611B8" w:rsidRPr="002611B8">
        <w:rPr>
          <w:rFonts w:ascii="Times New Roman" w:hAnsi="Times New Roman" w:cs="Times New Roman"/>
          <w:b/>
          <w:i/>
          <w:sz w:val="24"/>
          <w:szCs w:val="24"/>
        </w:rPr>
        <w:t>No instrument shall be pleaded or given in evidence in any court as affecting any land unless the same shall have been registered.”</w:t>
      </w:r>
      <w:r w:rsidR="002611B8">
        <w:rPr>
          <w:rFonts w:ascii="Times New Roman" w:hAnsi="Times New Roman" w:cs="Times New Roman"/>
          <w:b/>
          <w:sz w:val="24"/>
          <w:szCs w:val="24"/>
        </w:rPr>
        <w:t xml:space="preserve"> </w:t>
      </w:r>
      <w:r w:rsidR="002611B8">
        <w:rPr>
          <w:rFonts w:ascii="Times New Roman" w:hAnsi="Times New Roman" w:cs="Times New Roman"/>
          <w:sz w:val="24"/>
          <w:szCs w:val="24"/>
        </w:rPr>
        <w:t>The Supreme Court was of the view that the said provision constituted legislative trespass by the Rivers State House of Assembly into a matter of exclusive legislative competence by the National Assembly as only the latter is empowered by the 1999 constit</w:t>
      </w:r>
      <w:r w:rsidR="00A71904">
        <w:rPr>
          <w:rFonts w:ascii="Times New Roman" w:hAnsi="Times New Roman" w:cs="Times New Roman"/>
          <w:sz w:val="24"/>
          <w:szCs w:val="24"/>
        </w:rPr>
        <w:t xml:space="preserve">ution to legislate on evidence, and thus declared it void. </w:t>
      </w:r>
    </w:p>
    <w:p w:rsidR="002611B8" w:rsidRDefault="002611B8" w:rsidP="002B6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Meanwhile, th</w:t>
      </w:r>
      <w:r w:rsidR="00990747">
        <w:rPr>
          <w:rFonts w:ascii="Times New Roman" w:hAnsi="Times New Roman" w:cs="Times New Roman"/>
          <w:sz w:val="24"/>
          <w:szCs w:val="24"/>
        </w:rPr>
        <w:t xml:space="preserve">e Supreme Court went ahead </w:t>
      </w:r>
      <w:r>
        <w:rPr>
          <w:rFonts w:ascii="Times New Roman" w:hAnsi="Times New Roman" w:cs="Times New Roman"/>
          <w:sz w:val="24"/>
          <w:szCs w:val="24"/>
        </w:rPr>
        <w:t>to</w:t>
      </w:r>
      <w:r w:rsidR="00853AD7">
        <w:rPr>
          <w:rFonts w:ascii="Times New Roman" w:hAnsi="Times New Roman" w:cs="Times New Roman"/>
          <w:sz w:val="24"/>
          <w:szCs w:val="24"/>
        </w:rPr>
        <w:t xml:space="preserve"> expand the rule laid down in </w:t>
      </w:r>
      <w:r w:rsidR="00853AD7" w:rsidRPr="002611B8">
        <w:rPr>
          <w:rFonts w:ascii="Times New Roman" w:hAnsi="Times New Roman" w:cs="Times New Roman"/>
          <w:i/>
          <w:sz w:val="24"/>
          <w:szCs w:val="24"/>
        </w:rPr>
        <w:t>Okoye v. Dumez</w:t>
      </w:r>
      <w:r>
        <w:rPr>
          <w:rFonts w:ascii="Times New Roman" w:hAnsi="Times New Roman" w:cs="Times New Roman"/>
          <w:sz w:val="24"/>
          <w:szCs w:val="24"/>
        </w:rPr>
        <w:t xml:space="preserve"> on the extent of the admissibility of an unregistered land instrument, holding as follows:</w:t>
      </w:r>
    </w:p>
    <w:p w:rsidR="00E228AC" w:rsidRDefault="00990747" w:rsidP="002B6375">
      <w:pPr>
        <w:spacing w:line="360" w:lineRule="auto"/>
        <w:jc w:val="both"/>
        <w:rPr>
          <w:rFonts w:ascii="Times New Roman" w:hAnsi="Times New Roman" w:cs="Times New Roman"/>
          <w:b/>
          <w:sz w:val="24"/>
          <w:szCs w:val="24"/>
        </w:rPr>
      </w:pPr>
      <w:r w:rsidRPr="00990747">
        <w:rPr>
          <w:rFonts w:ascii="Times New Roman" w:hAnsi="Times New Roman" w:cs="Times New Roman"/>
          <w:b/>
          <w:i/>
          <w:sz w:val="24"/>
          <w:szCs w:val="24"/>
        </w:rPr>
        <w:t>“</w:t>
      </w:r>
      <w:r w:rsidR="002611B8" w:rsidRPr="00990747">
        <w:rPr>
          <w:rFonts w:ascii="Times New Roman" w:hAnsi="Times New Roman" w:cs="Times New Roman"/>
          <w:b/>
          <w:i/>
          <w:sz w:val="24"/>
          <w:szCs w:val="24"/>
        </w:rPr>
        <w:t xml:space="preserve">A registrable land instrument not registered in accordance with the law, like the Land Instruments (Preparation and Registration) Law, Cap. 74, Laws of Rivers State, 1999 is rendered inadmissible in evidence, and if erroneously admitted in evidence shall be liable to be expunged therefrom. A registrable instrument which is not registered cannot be pleaded. An action may precede registration but pleadings cannot precede registration of the instrument. An unregistered instrument is not admissible to prove title. However, such unregistered instrument </w:t>
      </w:r>
      <w:r w:rsidR="002611B8" w:rsidRPr="00990747">
        <w:rPr>
          <w:rFonts w:ascii="Times New Roman" w:hAnsi="Times New Roman" w:cs="Times New Roman"/>
          <w:b/>
          <w:i/>
          <w:sz w:val="24"/>
          <w:szCs w:val="24"/>
        </w:rPr>
        <w:lastRenderedPageBreak/>
        <w:t>is admissible to prove payment of mon</w:t>
      </w:r>
      <w:r w:rsidR="00C8170B">
        <w:rPr>
          <w:rFonts w:ascii="Times New Roman" w:hAnsi="Times New Roman" w:cs="Times New Roman"/>
          <w:b/>
          <w:i/>
          <w:sz w:val="24"/>
          <w:szCs w:val="24"/>
        </w:rPr>
        <w:t>ey and coupled with possession, i</w:t>
      </w:r>
      <w:r w:rsidR="002611B8" w:rsidRPr="00990747">
        <w:rPr>
          <w:rFonts w:ascii="Times New Roman" w:hAnsi="Times New Roman" w:cs="Times New Roman"/>
          <w:b/>
          <w:i/>
          <w:sz w:val="24"/>
          <w:szCs w:val="24"/>
        </w:rPr>
        <w:t>t may give right to an equitable interest enforceable by specific performance. In other words, an unregistered registrable land instrument is admissible in evidence to prove, not only the payment and receipt of the purchase price, but also the equitable interest of the purchaser in the subject land.</w:t>
      </w:r>
      <w:r w:rsidRPr="00990747">
        <w:rPr>
          <w:rFonts w:ascii="Times New Roman" w:hAnsi="Times New Roman" w:cs="Times New Roman"/>
          <w:b/>
          <w:sz w:val="24"/>
          <w:szCs w:val="24"/>
        </w:rPr>
        <w:t>”</w:t>
      </w:r>
    </w:p>
    <w:p w:rsidR="004A08D2" w:rsidRPr="004A08D2" w:rsidRDefault="004A08D2" w:rsidP="002B6375">
      <w:pPr>
        <w:spacing w:line="360" w:lineRule="auto"/>
        <w:jc w:val="both"/>
        <w:rPr>
          <w:rFonts w:ascii="Times New Roman" w:hAnsi="Times New Roman" w:cs="Times New Roman"/>
          <w:b/>
          <w:sz w:val="24"/>
          <w:szCs w:val="24"/>
        </w:rPr>
      </w:pPr>
      <w:r w:rsidRPr="004A08D2">
        <w:rPr>
          <w:rFonts w:ascii="Times New Roman" w:hAnsi="Times New Roman" w:cs="Times New Roman"/>
          <w:sz w:val="24"/>
          <w:szCs w:val="24"/>
        </w:rPr>
        <w:t xml:space="preserve">Perhaps </w:t>
      </w:r>
      <w:r w:rsidR="00CD18D0">
        <w:rPr>
          <w:rFonts w:ascii="Times New Roman" w:hAnsi="Times New Roman" w:cs="Times New Roman"/>
          <w:sz w:val="24"/>
          <w:szCs w:val="24"/>
        </w:rPr>
        <w:t xml:space="preserve">it is </w:t>
      </w:r>
      <w:r>
        <w:rPr>
          <w:rFonts w:ascii="Times New Roman" w:hAnsi="Times New Roman" w:cs="Times New Roman"/>
          <w:sz w:val="24"/>
          <w:szCs w:val="24"/>
        </w:rPr>
        <w:t>from</w:t>
      </w:r>
      <w:r w:rsidR="00A604D8">
        <w:rPr>
          <w:rFonts w:ascii="Times New Roman" w:hAnsi="Times New Roman" w:cs="Times New Roman"/>
          <w:sz w:val="24"/>
          <w:szCs w:val="24"/>
        </w:rPr>
        <w:t xml:space="preserve"> the foregoing excerpt that</w:t>
      </w:r>
      <w:r>
        <w:rPr>
          <w:rFonts w:ascii="Times New Roman" w:hAnsi="Times New Roman" w:cs="Times New Roman"/>
          <w:sz w:val="24"/>
          <w:szCs w:val="24"/>
        </w:rPr>
        <w:t xml:space="preserve"> confusion </w:t>
      </w:r>
      <w:r w:rsidR="00CD18D0">
        <w:rPr>
          <w:rFonts w:ascii="Times New Roman" w:hAnsi="Times New Roman" w:cs="Times New Roman"/>
          <w:sz w:val="24"/>
          <w:szCs w:val="24"/>
        </w:rPr>
        <w:t xml:space="preserve">on the true state of the law on the admissibility of an unregistered registrable land instrument stemmed. While </w:t>
      </w:r>
      <w:r w:rsidR="00A604D8">
        <w:rPr>
          <w:rFonts w:ascii="Times New Roman" w:hAnsi="Times New Roman" w:cs="Times New Roman"/>
          <w:sz w:val="24"/>
          <w:szCs w:val="24"/>
        </w:rPr>
        <w:t xml:space="preserve">the apex court audaciously voided </w:t>
      </w:r>
      <w:r w:rsidR="00A604D8" w:rsidRPr="009F0817">
        <w:rPr>
          <w:rFonts w:ascii="Times New Roman" w:hAnsi="Times New Roman" w:cs="Times New Roman"/>
          <w:i/>
          <w:sz w:val="24"/>
          <w:szCs w:val="24"/>
        </w:rPr>
        <w:t>Section 20</w:t>
      </w:r>
      <w:r w:rsidR="00A604D8">
        <w:rPr>
          <w:rFonts w:ascii="Times New Roman" w:hAnsi="Times New Roman" w:cs="Times New Roman"/>
          <w:sz w:val="24"/>
          <w:szCs w:val="24"/>
        </w:rPr>
        <w:t xml:space="preserve"> of the </w:t>
      </w:r>
      <w:r w:rsidR="00A604D8" w:rsidRPr="009F0817">
        <w:rPr>
          <w:rFonts w:ascii="Times New Roman" w:hAnsi="Times New Roman" w:cs="Times New Roman"/>
          <w:i/>
          <w:sz w:val="24"/>
          <w:szCs w:val="24"/>
        </w:rPr>
        <w:t>Land Instruments (Preparation and Registration) Law of River</w:t>
      </w:r>
      <w:r w:rsidR="009F0817">
        <w:rPr>
          <w:rFonts w:ascii="Times New Roman" w:hAnsi="Times New Roman" w:cs="Times New Roman"/>
          <w:i/>
          <w:sz w:val="24"/>
          <w:szCs w:val="24"/>
        </w:rPr>
        <w:t>s</w:t>
      </w:r>
      <w:r w:rsidR="00A604D8" w:rsidRPr="009F0817">
        <w:rPr>
          <w:rFonts w:ascii="Times New Roman" w:hAnsi="Times New Roman" w:cs="Times New Roman"/>
          <w:i/>
          <w:sz w:val="24"/>
          <w:szCs w:val="24"/>
        </w:rPr>
        <w:t xml:space="preserve"> State</w:t>
      </w:r>
      <w:r w:rsidR="00A604D8">
        <w:rPr>
          <w:rFonts w:ascii="Times New Roman" w:hAnsi="Times New Roman" w:cs="Times New Roman"/>
          <w:sz w:val="24"/>
          <w:szCs w:val="24"/>
        </w:rPr>
        <w:t xml:space="preserve">, it would go ahead to rehash its provisions in its holdings, only to later turn around and declare that </w:t>
      </w:r>
      <w:r w:rsidR="0065554B">
        <w:rPr>
          <w:rFonts w:ascii="Times New Roman" w:hAnsi="Times New Roman" w:cs="Times New Roman"/>
          <w:sz w:val="24"/>
          <w:szCs w:val="24"/>
        </w:rPr>
        <w:t xml:space="preserve">an unregistered land instrument can be tendered and admitted in evidence but only to prove payment and receipt of purchase price and </w:t>
      </w:r>
      <w:r w:rsidR="00592AC1">
        <w:rPr>
          <w:rFonts w:ascii="Times New Roman" w:hAnsi="Times New Roman" w:cs="Times New Roman"/>
          <w:sz w:val="24"/>
          <w:szCs w:val="24"/>
        </w:rPr>
        <w:t xml:space="preserve">that </w:t>
      </w:r>
      <w:r w:rsidR="0065554B">
        <w:rPr>
          <w:rFonts w:ascii="Times New Roman" w:hAnsi="Times New Roman" w:cs="Times New Roman"/>
          <w:sz w:val="24"/>
          <w:szCs w:val="24"/>
        </w:rPr>
        <w:t>where there is evidence of possession by the purchaser, the court would uphold the equitable interest of such purchaser. What this suggest</w:t>
      </w:r>
      <w:r w:rsidR="00326F88">
        <w:rPr>
          <w:rFonts w:ascii="Times New Roman" w:hAnsi="Times New Roman" w:cs="Times New Roman"/>
          <w:sz w:val="24"/>
          <w:szCs w:val="24"/>
        </w:rPr>
        <w:t>s</w:t>
      </w:r>
      <w:r w:rsidR="0065554B">
        <w:rPr>
          <w:rFonts w:ascii="Times New Roman" w:hAnsi="Times New Roman" w:cs="Times New Roman"/>
          <w:sz w:val="24"/>
          <w:szCs w:val="24"/>
        </w:rPr>
        <w:t xml:space="preserve"> is that the holding of the court </w:t>
      </w:r>
      <w:r w:rsidR="0065554B" w:rsidRPr="00AF2C26">
        <w:rPr>
          <w:rFonts w:ascii="Times New Roman" w:hAnsi="Times New Roman" w:cs="Times New Roman"/>
          <w:sz w:val="24"/>
          <w:szCs w:val="24"/>
        </w:rPr>
        <w:t xml:space="preserve">that </w:t>
      </w:r>
      <w:r w:rsidR="0065554B" w:rsidRPr="00AF2C26">
        <w:rPr>
          <w:rFonts w:ascii="Times New Roman" w:hAnsi="Times New Roman" w:cs="Times New Roman"/>
          <w:b/>
          <w:i/>
          <w:sz w:val="24"/>
          <w:szCs w:val="24"/>
        </w:rPr>
        <w:t>“A registrable land instrument not registered in accordance with the law, is rendered inadmissible in evidence …”</w:t>
      </w:r>
      <w:r w:rsidR="0065554B">
        <w:rPr>
          <w:rFonts w:ascii="Times New Roman" w:hAnsi="Times New Roman" w:cs="Times New Roman"/>
          <w:sz w:val="24"/>
          <w:szCs w:val="24"/>
        </w:rPr>
        <w:t xml:space="preserve"> would</w:t>
      </w:r>
      <w:r w:rsidR="00D179E2">
        <w:rPr>
          <w:rFonts w:ascii="Times New Roman" w:hAnsi="Times New Roman" w:cs="Times New Roman"/>
          <w:sz w:val="24"/>
          <w:szCs w:val="24"/>
        </w:rPr>
        <w:t xml:space="preserve"> apply only where it is pleaded or tendered in evidence to prove title to land. </w:t>
      </w:r>
    </w:p>
    <w:p w:rsidR="005C7A80" w:rsidRDefault="005C7A80" w:rsidP="002B6375">
      <w:pPr>
        <w:pStyle w:val="ListParagraph"/>
        <w:numPr>
          <w:ilvl w:val="0"/>
          <w:numId w:val="2"/>
        </w:numPr>
        <w:spacing w:after="0" w:line="360" w:lineRule="auto"/>
        <w:jc w:val="both"/>
        <w:rPr>
          <w:rFonts w:ascii="Times New Roman" w:hAnsi="Times New Roman" w:cs="Times New Roman"/>
          <w:i/>
          <w:sz w:val="24"/>
          <w:szCs w:val="24"/>
        </w:rPr>
      </w:pPr>
      <w:r w:rsidRPr="00E42AAF">
        <w:rPr>
          <w:rFonts w:ascii="Times New Roman" w:hAnsi="Times New Roman" w:cs="Times New Roman"/>
          <w:i/>
          <w:sz w:val="24"/>
          <w:szCs w:val="24"/>
        </w:rPr>
        <w:t xml:space="preserve">Abdullahi v. Adetutu </w:t>
      </w:r>
      <w:r w:rsidR="00BD6879">
        <w:rPr>
          <w:rFonts w:ascii="Times New Roman" w:hAnsi="Times New Roman" w:cs="Times New Roman"/>
          <w:i/>
          <w:sz w:val="24"/>
          <w:szCs w:val="24"/>
        </w:rPr>
        <w:t>(supra)</w:t>
      </w:r>
    </w:p>
    <w:p w:rsidR="00826411" w:rsidRPr="00711010" w:rsidRDefault="00826411" w:rsidP="005755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826411">
        <w:rPr>
          <w:rFonts w:ascii="Times New Roman" w:hAnsi="Times New Roman" w:cs="Times New Roman"/>
          <w:i/>
          <w:sz w:val="24"/>
          <w:szCs w:val="24"/>
        </w:rPr>
        <w:t>Abdullahi’s</w:t>
      </w:r>
      <w:r>
        <w:rPr>
          <w:rFonts w:ascii="Times New Roman" w:hAnsi="Times New Roman" w:cs="Times New Roman"/>
          <w:sz w:val="24"/>
          <w:szCs w:val="24"/>
        </w:rPr>
        <w:t xml:space="preserve"> case, </w:t>
      </w:r>
      <w:r w:rsidR="00861ED7">
        <w:rPr>
          <w:rFonts w:ascii="Times New Roman" w:hAnsi="Times New Roman" w:cs="Times New Roman"/>
          <w:sz w:val="24"/>
          <w:szCs w:val="24"/>
        </w:rPr>
        <w:t xml:space="preserve">the flames of the confusion created by the not-well-articulated decision of the apex court </w:t>
      </w:r>
      <w:r w:rsidR="001D6536">
        <w:rPr>
          <w:rFonts w:ascii="Times New Roman" w:hAnsi="Times New Roman" w:cs="Times New Roman"/>
          <w:sz w:val="24"/>
          <w:szCs w:val="24"/>
        </w:rPr>
        <w:t xml:space="preserve">in </w:t>
      </w:r>
      <w:r w:rsidR="001D6536" w:rsidRPr="001D6536">
        <w:rPr>
          <w:rFonts w:ascii="Times New Roman" w:hAnsi="Times New Roman" w:cs="Times New Roman"/>
          <w:b/>
          <w:i/>
          <w:sz w:val="24"/>
          <w:szCs w:val="24"/>
        </w:rPr>
        <w:t>Benjamin v. Kalio</w:t>
      </w:r>
      <w:r w:rsidR="001D6536">
        <w:rPr>
          <w:rFonts w:ascii="Times New Roman" w:hAnsi="Times New Roman" w:cs="Times New Roman"/>
          <w:sz w:val="24"/>
          <w:szCs w:val="24"/>
        </w:rPr>
        <w:t xml:space="preserve"> </w:t>
      </w:r>
      <w:r w:rsidR="00861ED7">
        <w:rPr>
          <w:rFonts w:ascii="Times New Roman" w:hAnsi="Times New Roman" w:cs="Times New Roman"/>
          <w:sz w:val="24"/>
          <w:szCs w:val="24"/>
        </w:rPr>
        <w:t xml:space="preserve">was fanned by the court when it decided on an issue on the admissibility or otherwise of an unregistered land instrument without referring </w:t>
      </w:r>
      <w:r w:rsidR="005B6DB6">
        <w:rPr>
          <w:rFonts w:ascii="Times New Roman" w:hAnsi="Times New Roman" w:cs="Times New Roman"/>
          <w:sz w:val="24"/>
          <w:szCs w:val="24"/>
        </w:rPr>
        <w:t xml:space="preserve">to its earlier decision in </w:t>
      </w:r>
      <w:r w:rsidR="005B6DB6" w:rsidRPr="005B6DB6">
        <w:rPr>
          <w:rFonts w:ascii="Times New Roman" w:hAnsi="Times New Roman" w:cs="Times New Roman"/>
          <w:i/>
          <w:sz w:val="24"/>
          <w:szCs w:val="24"/>
        </w:rPr>
        <w:t>Benjamin v. Kalio</w:t>
      </w:r>
      <w:r w:rsidR="005B6DB6">
        <w:rPr>
          <w:rFonts w:ascii="Times New Roman" w:hAnsi="Times New Roman" w:cs="Times New Roman"/>
          <w:sz w:val="24"/>
          <w:szCs w:val="24"/>
        </w:rPr>
        <w:t xml:space="preserve">. Some commentators have argued that the holdings in these two cases are contradictory, and its silence on </w:t>
      </w:r>
      <w:r w:rsidR="005B6DB6" w:rsidRPr="00275E98">
        <w:rPr>
          <w:rFonts w:ascii="Times New Roman" w:hAnsi="Times New Roman" w:cs="Times New Roman"/>
          <w:i/>
          <w:sz w:val="24"/>
          <w:szCs w:val="24"/>
        </w:rPr>
        <w:t>Benjamin v. Kalio</w:t>
      </w:r>
      <w:r w:rsidR="005B6DB6">
        <w:rPr>
          <w:rFonts w:ascii="Times New Roman" w:hAnsi="Times New Roman" w:cs="Times New Roman"/>
          <w:sz w:val="24"/>
          <w:szCs w:val="24"/>
        </w:rPr>
        <w:t xml:space="preserve"> made it difficult to state whether it had overruled its ruling in the prior case. Meanwhile, our thorough examination of these two cases only show that the apex court was restating the same rule as laid down in </w:t>
      </w:r>
      <w:r w:rsidR="005B6DB6" w:rsidRPr="005B6DB6">
        <w:rPr>
          <w:rFonts w:ascii="Times New Roman" w:hAnsi="Times New Roman" w:cs="Times New Roman"/>
          <w:i/>
          <w:sz w:val="24"/>
          <w:szCs w:val="24"/>
        </w:rPr>
        <w:t>Okoye v. Dumez</w:t>
      </w:r>
      <w:r w:rsidR="005B6DB6">
        <w:rPr>
          <w:rFonts w:ascii="Times New Roman" w:hAnsi="Times New Roman" w:cs="Times New Roman"/>
          <w:i/>
          <w:sz w:val="24"/>
          <w:szCs w:val="24"/>
        </w:rPr>
        <w:t xml:space="preserve"> (supra)</w:t>
      </w:r>
      <w:r w:rsidR="005B6DB6">
        <w:rPr>
          <w:rFonts w:ascii="Times New Roman" w:hAnsi="Times New Roman" w:cs="Times New Roman"/>
          <w:sz w:val="24"/>
          <w:szCs w:val="24"/>
        </w:rPr>
        <w:t xml:space="preserve"> and expanded in </w:t>
      </w:r>
      <w:r w:rsidR="00275E98">
        <w:rPr>
          <w:rFonts w:ascii="Times New Roman" w:hAnsi="Times New Roman" w:cs="Times New Roman"/>
          <w:i/>
          <w:sz w:val="24"/>
          <w:szCs w:val="24"/>
        </w:rPr>
        <w:t xml:space="preserve">Benjamin v. Kalio </w:t>
      </w:r>
      <w:r w:rsidR="005B6DB6" w:rsidRPr="005B6DB6">
        <w:rPr>
          <w:rFonts w:ascii="Times New Roman" w:hAnsi="Times New Roman" w:cs="Times New Roman"/>
          <w:i/>
          <w:sz w:val="24"/>
          <w:szCs w:val="24"/>
        </w:rPr>
        <w:t>(supra)</w:t>
      </w:r>
      <w:r w:rsidR="005B6DB6">
        <w:rPr>
          <w:rFonts w:ascii="Times New Roman" w:hAnsi="Times New Roman" w:cs="Times New Roman"/>
          <w:sz w:val="24"/>
          <w:szCs w:val="24"/>
        </w:rPr>
        <w:t xml:space="preserve"> however, with a different application given the peculiarities of the case. In </w:t>
      </w:r>
      <w:r w:rsidR="005B6DB6" w:rsidRPr="005B6DB6">
        <w:rPr>
          <w:rFonts w:ascii="Times New Roman" w:hAnsi="Times New Roman" w:cs="Times New Roman"/>
          <w:i/>
          <w:sz w:val="24"/>
          <w:szCs w:val="24"/>
        </w:rPr>
        <w:t>Abdullahi</w:t>
      </w:r>
      <w:r w:rsidR="005B6DB6">
        <w:rPr>
          <w:rFonts w:ascii="Times New Roman" w:hAnsi="Times New Roman" w:cs="Times New Roman"/>
          <w:sz w:val="24"/>
          <w:szCs w:val="24"/>
        </w:rPr>
        <w:t xml:space="preserve">’s case, the court considered the exhibit sought to be tendered as inadmissible because it was purported to be tendered as ‘a land instrument’ to prove title to land rather </w:t>
      </w:r>
      <w:r w:rsidR="00737A33">
        <w:rPr>
          <w:rFonts w:ascii="Times New Roman" w:hAnsi="Times New Roman" w:cs="Times New Roman"/>
          <w:sz w:val="24"/>
          <w:szCs w:val="24"/>
        </w:rPr>
        <w:t xml:space="preserve">than </w:t>
      </w:r>
      <w:r w:rsidR="005B6DB6">
        <w:rPr>
          <w:rFonts w:ascii="Times New Roman" w:hAnsi="Times New Roman" w:cs="Times New Roman"/>
          <w:sz w:val="24"/>
          <w:szCs w:val="24"/>
        </w:rPr>
        <w:t>as evidence of a transaction between the parties.</w:t>
      </w:r>
    </w:p>
    <w:p w:rsidR="00B5707D" w:rsidRDefault="00307D96" w:rsidP="002B6375">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KEY HIGHLIGHTS FROM THE SUPREME COURT JUDGMENT IN TAAN V. SCOA NIG. PLC.</w:t>
      </w:r>
      <w:r w:rsidR="00F26637" w:rsidRPr="00307D96">
        <w:rPr>
          <w:rFonts w:ascii="Times New Roman" w:hAnsi="Times New Roman" w:cs="Times New Roman"/>
          <w:b/>
          <w:sz w:val="24"/>
          <w:szCs w:val="24"/>
        </w:rPr>
        <w:t xml:space="preserve"> </w:t>
      </w:r>
    </w:p>
    <w:p w:rsidR="00E63B64" w:rsidRPr="00E63B64" w:rsidRDefault="00E63B64" w:rsidP="003F4B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Our review of the relevant cases on this subjec</w:t>
      </w:r>
      <w:r w:rsidR="00A93E4A">
        <w:rPr>
          <w:rFonts w:ascii="Times New Roman" w:hAnsi="Times New Roman" w:cs="Times New Roman"/>
          <w:sz w:val="24"/>
          <w:szCs w:val="24"/>
        </w:rPr>
        <w:t>t matter show that contrary to the</w:t>
      </w:r>
      <w:r>
        <w:rPr>
          <w:rFonts w:ascii="Times New Roman" w:hAnsi="Times New Roman" w:cs="Times New Roman"/>
          <w:sz w:val="24"/>
          <w:szCs w:val="24"/>
        </w:rPr>
        <w:t xml:space="preserve"> view</w:t>
      </w:r>
      <w:r w:rsidR="00A93E4A">
        <w:rPr>
          <w:rFonts w:ascii="Times New Roman" w:hAnsi="Times New Roman" w:cs="Times New Roman"/>
          <w:sz w:val="24"/>
          <w:szCs w:val="24"/>
        </w:rPr>
        <w:t xml:space="preserve"> of some commentators</w:t>
      </w:r>
      <w:r>
        <w:rPr>
          <w:rFonts w:ascii="Times New Roman" w:hAnsi="Times New Roman" w:cs="Times New Roman"/>
          <w:sz w:val="24"/>
          <w:szCs w:val="24"/>
        </w:rPr>
        <w:t xml:space="preserve">, the Supreme Court’s ruling in </w:t>
      </w:r>
      <w:r w:rsidRPr="00E63B64">
        <w:rPr>
          <w:rFonts w:ascii="Times New Roman" w:hAnsi="Times New Roman" w:cs="Times New Roman"/>
          <w:i/>
          <w:sz w:val="24"/>
          <w:szCs w:val="24"/>
        </w:rPr>
        <w:t>Taan v. SCOA Nig. Plc</w:t>
      </w:r>
      <w:r>
        <w:rPr>
          <w:rFonts w:ascii="Times New Roman" w:hAnsi="Times New Roman" w:cs="Times New Roman"/>
          <w:sz w:val="24"/>
          <w:szCs w:val="24"/>
        </w:rPr>
        <w:t xml:space="preserve">. (supra) did not depart from </w:t>
      </w:r>
      <w:r>
        <w:rPr>
          <w:rFonts w:ascii="Times New Roman" w:hAnsi="Times New Roman" w:cs="Times New Roman"/>
          <w:sz w:val="24"/>
          <w:szCs w:val="24"/>
        </w:rPr>
        <w:lastRenderedPageBreak/>
        <w:t xml:space="preserve">the rule laid down in </w:t>
      </w:r>
      <w:r w:rsidRPr="00E63B64">
        <w:rPr>
          <w:rFonts w:ascii="Times New Roman" w:hAnsi="Times New Roman" w:cs="Times New Roman"/>
          <w:i/>
          <w:sz w:val="24"/>
          <w:szCs w:val="24"/>
        </w:rPr>
        <w:t>Benjamin v. Kalio</w:t>
      </w:r>
      <w:r w:rsidR="00874898">
        <w:rPr>
          <w:rFonts w:ascii="Times New Roman" w:hAnsi="Times New Roman" w:cs="Times New Roman"/>
          <w:i/>
          <w:sz w:val="24"/>
          <w:szCs w:val="24"/>
        </w:rPr>
        <w:t xml:space="preserve">; </w:t>
      </w:r>
      <w:r w:rsidR="00874898">
        <w:rPr>
          <w:rFonts w:ascii="Times New Roman" w:hAnsi="Times New Roman" w:cs="Times New Roman"/>
          <w:sz w:val="24"/>
          <w:szCs w:val="24"/>
        </w:rPr>
        <w:t xml:space="preserve">it only clarified the same principle. Meanwhile, one clear upside of the decision in </w:t>
      </w:r>
      <w:r w:rsidR="00874898" w:rsidRPr="00C178BB">
        <w:rPr>
          <w:rFonts w:ascii="Times New Roman" w:hAnsi="Times New Roman" w:cs="Times New Roman"/>
          <w:i/>
          <w:sz w:val="24"/>
          <w:szCs w:val="24"/>
        </w:rPr>
        <w:t>Taan v. SCOA Nig. Plc</w:t>
      </w:r>
      <w:r w:rsidR="00874898">
        <w:rPr>
          <w:rFonts w:ascii="Times New Roman" w:hAnsi="Times New Roman" w:cs="Times New Roman"/>
          <w:sz w:val="24"/>
          <w:szCs w:val="24"/>
        </w:rPr>
        <w:t>., aside</w:t>
      </w:r>
      <w:r w:rsidR="00F23117">
        <w:rPr>
          <w:rFonts w:ascii="Times New Roman" w:hAnsi="Times New Roman" w:cs="Times New Roman"/>
          <w:sz w:val="24"/>
          <w:szCs w:val="24"/>
        </w:rPr>
        <w:t xml:space="preserve"> the fact that it is </w:t>
      </w:r>
      <w:r w:rsidR="00C178BB">
        <w:rPr>
          <w:rFonts w:ascii="Times New Roman" w:hAnsi="Times New Roman" w:cs="Times New Roman"/>
          <w:sz w:val="24"/>
          <w:szCs w:val="24"/>
        </w:rPr>
        <w:t xml:space="preserve">the most </w:t>
      </w:r>
      <w:r w:rsidR="00F23117">
        <w:rPr>
          <w:rFonts w:ascii="Times New Roman" w:hAnsi="Times New Roman" w:cs="Times New Roman"/>
          <w:sz w:val="24"/>
          <w:szCs w:val="24"/>
        </w:rPr>
        <w:t xml:space="preserve">recent, is </w:t>
      </w:r>
      <w:r w:rsidR="00CC1301">
        <w:rPr>
          <w:rFonts w:ascii="Times New Roman" w:hAnsi="Times New Roman" w:cs="Times New Roman"/>
          <w:sz w:val="24"/>
          <w:szCs w:val="24"/>
        </w:rPr>
        <w:t>that in this case, the Supreme Court expatiated on the various dimensions and implications of the principle. We have identified 6 key highlights from the decision. Whilst some relate to</w:t>
      </w:r>
      <w:r w:rsidR="00AF2622">
        <w:rPr>
          <w:rFonts w:ascii="Times New Roman" w:hAnsi="Times New Roman" w:cs="Times New Roman"/>
          <w:sz w:val="24"/>
          <w:szCs w:val="24"/>
        </w:rPr>
        <w:t xml:space="preserve"> the legal issue on the admissibility or otherwise of unregistered registrable land instruments,</w:t>
      </w:r>
      <w:r w:rsidR="00176CD8">
        <w:rPr>
          <w:rFonts w:ascii="Times New Roman" w:hAnsi="Times New Roman" w:cs="Times New Roman"/>
          <w:sz w:val="24"/>
          <w:szCs w:val="24"/>
        </w:rPr>
        <w:t xml:space="preserve"> there are some other contiguous</w:t>
      </w:r>
      <w:r w:rsidR="00AF2622">
        <w:rPr>
          <w:rFonts w:ascii="Times New Roman" w:hAnsi="Times New Roman" w:cs="Times New Roman"/>
          <w:sz w:val="24"/>
          <w:szCs w:val="24"/>
        </w:rPr>
        <w:t xml:space="preserve"> issues that worth reckoning for a better understanding of the court’s </w:t>
      </w:r>
      <w:r w:rsidR="00AF2622" w:rsidRPr="00AF2622">
        <w:rPr>
          <w:rFonts w:ascii="Times New Roman" w:hAnsi="Times New Roman" w:cs="Times New Roman"/>
          <w:i/>
          <w:sz w:val="24"/>
          <w:szCs w:val="24"/>
        </w:rPr>
        <w:t>ratio decidendi</w:t>
      </w:r>
      <w:r w:rsidR="00AF2622">
        <w:rPr>
          <w:rFonts w:ascii="Times New Roman" w:hAnsi="Times New Roman" w:cs="Times New Roman"/>
          <w:sz w:val="24"/>
          <w:szCs w:val="24"/>
        </w:rPr>
        <w:t>.</w:t>
      </w:r>
    </w:p>
    <w:p w:rsidR="0086416A" w:rsidRPr="00CE7335" w:rsidRDefault="0086416A" w:rsidP="002B6375">
      <w:pPr>
        <w:pStyle w:val="ListParagraph"/>
        <w:numPr>
          <w:ilvl w:val="0"/>
          <w:numId w:val="3"/>
        </w:numPr>
        <w:spacing w:after="0" w:line="360" w:lineRule="auto"/>
        <w:ind w:left="450"/>
        <w:jc w:val="both"/>
        <w:rPr>
          <w:rFonts w:ascii="Times New Roman" w:hAnsi="Times New Roman" w:cs="Times New Roman"/>
          <w:b/>
          <w:sz w:val="24"/>
          <w:szCs w:val="24"/>
        </w:rPr>
      </w:pPr>
      <w:r>
        <w:rPr>
          <w:rFonts w:ascii="Times New Roman" w:hAnsi="Times New Roman" w:cs="Times New Roman"/>
          <w:sz w:val="24"/>
          <w:szCs w:val="24"/>
        </w:rPr>
        <w:t>The document of interest in the case, exhibit C, the deed</w:t>
      </w:r>
      <w:r w:rsidR="00CE7335">
        <w:rPr>
          <w:rFonts w:ascii="Times New Roman" w:hAnsi="Times New Roman" w:cs="Times New Roman"/>
          <w:sz w:val="24"/>
          <w:szCs w:val="24"/>
        </w:rPr>
        <w:t xml:space="preserve"> of agreement through which the appellant/plaintiff claims joint ownership of the property is a ‘land instrument’ properly so called by Section 2 of the </w:t>
      </w:r>
      <w:r w:rsidR="000750A4">
        <w:rPr>
          <w:rFonts w:ascii="Times New Roman" w:hAnsi="Times New Roman" w:cs="Times New Roman"/>
          <w:sz w:val="24"/>
          <w:szCs w:val="24"/>
        </w:rPr>
        <w:t>Land</w:t>
      </w:r>
      <w:r w:rsidR="00CE7335">
        <w:rPr>
          <w:rFonts w:ascii="Times New Roman" w:hAnsi="Times New Roman" w:cs="Times New Roman"/>
          <w:sz w:val="24"/>
          <w:szCs w:val="24"/>
        </w:rPr>
        <w:t xml:space="preserve"> Instruments Registration Law of Lagos State </w:t>
      </w:r>
      <w:r w:rsidR="00CE7335" w:rsidRPr="006E0B87">
        <w:rPr>
          <w:rFonts w:ascii="Times New Roman" w:hAnsi="Times New Roman" w:cs="Times New Roman"/>
          <w:i/>
          <w:sz w:val="24"/>
          <w:szCs w:val="24"/>
        </w:rPr>
        <w:t>as ‘the appellant averred that the second respondent used the deed of agreement to convey the reversionary interest in the disputed property to him and her jointly.’</w:t>
      </w:r>
      <w:r w:rsidR="00CE7335">
        <w:rPr>
          <w:rFonts w:ascii="Times New Roman" w:hAnsi="Times New Roman" w:cs="Times New Roman"/>
          <w:sz w:val="24"/>
          <w:szCs w:val="24"/>
        </w:rPr>
        <w:t xml:space="preserve"> Thus, it was held that the appellant pleaded the deed of agreement a</w:t>
      </w:r>
      <w:r w:rsidR="00161AFA">
        <w:rPr>
          <w:rFonts w:ascii="Times New Roman" w:hAnsi="Times New Roman" w:cs="Times New Roman"/>
          <w:sz w:val="24"/>
          <w:szCs w:val="24"/>
        </w:rPr>
        <w:t xml:space="preserve">s an instrument affecting land </w:t>
      </w:r>
      <w:r w:rsidR="00C173CC">
        <w:rPr>
          <w:rFonts w:ascii="Times New Roman" w:hAnsi="Times New Roman" w:cs="Times New Roman"/>
          <w:sz w:val="24"/>
          <w:szCs w:val="24"/>
        </w:rPr>
        <w:t>(see p</w:t>
      </w:r>
      <w:r w:rsidR="006048FD">
        <w:rPr>
          <w:rFonts w:ascii="Times New Roman" w:hAnsi="Times New Roman" w:cs="Times New Roman"/>
          <w:sz w:val="24"/>
          <w:szCs w:val="24"/>
        </w:rPr>
        <w:t>age 43, p</w:t>
      </w:r>
      <w:r w:rsidR="00C173CC">
        <w:rPr>
          <w:rFonts w:ascii="Times New Roman" w:hAnsi="Times New Roman" w:cs="Times New Roman"/>
          <w:sz w:val="24"/>
          <w:szCs w:val="24"/>
        </w:rPr>
        <w:t>ar</w:t>
      </w:r>
      <w:r w:rsidR="006048FD">
        <w:rPr>
          <w:rFonts w:ascii="Times New Roman" w:hAnsi="Times New Roman" w:cs="Times New Roman"/>
          <w:sz w:val="24"/>
          <w:szCs w:val="24"/>
        </w:rPr>
        <w:t>a F</w:t>
      </w:r>
      <w:r w:rsidR="00C173CC">
        <w:rPr>
          <w:rFonts w:ascii="Times New Roman" w:hAnsi="Times New Roman" w:cs="Times New Roman"/>
          <w:sz w:val="24"/>
          <w:szCs w:val="24"/>
        </w:rPr>
        <w:t xml:space="preserve">). </w:t>
      </w:r>
    </w:p>
    <w:p w:rsidR="006F7EA7" w:rsidRPr="006F7EA7" w:rsidRDefault="00A45513" w:rsidP="002B6375">
      <w:pPr>
        <w:pStyle w:val="ListParagraph"/>
        <w:numPr>
          <w:ilvl w:val="0"/>
          <w:numId w:val="3"/>
        </w:numPr>
        <w:spacing w:after="0" w:line="360" w:lineRule="auto"/>
        <w:ind w:left="450"/>
        <w:jc w:val="both"/>
        <w:rPr>
          <w:rFonts w:ascii="Times New Roman" w:hAnsi="Times New Roman" w:cs="Times New Roman"/>
          <w:b/>
          <w:sz w:val="24"/>
          <w:szCs w:val="24"/>
        </w:rPr>
      </w:pPr>
      <w:r>
        <w:rPr>
          <w:rFonts w:ascii="Times New Roman" w:hAnsi="Times New Roman" w:cs="Times New Roman"/>
          <w:sz w:val="24"/>
          <w:szCs w:val="24"/>
        </w:rPr>
        <w:t xml:space="preserve">Re-echoing its earlier decision in </w:t>
      </w:r>
      <w:r w:rsidRPr="00A45513">
        <w:rPr>
          <w:rFonts w:ascii="Times New Roman" w:hAnsi="Times New Roman" w:cs="Times New Roman"/>
          <w:i/>
          <w:sz w:val="24"/>
          <w:szCs w:val="24"/>
        </w:rPr>
        <w:t>Abdullahi v. Adetutu</w:t>
      </w:r>
      <w:r>
        <w:rPr>
          <w:rFonts w:ascii="Times New Roman" w:hAnsi="Times New Roman" w:cs="Times New Roman"/>
          <w:sz w:val="24"/>
          <w:szCs w:val="24"/>
        </w:rPr>
        <w:t>, per Nweze</w:t>
      </w:r>
      <w:r w:rsidR="006F7EA7">
        <w:rPr>
          <w:rFonts w:ascii="Times New Roman" w:hAnsi="Times New Roman" w:cs="Times New Roman"/>
          <w:sz w:val="24"/>
          <w:szCs w:val="24"/>
        </w:rPr>
        <w:t xml:space="preserve">, the court affirmed the status of an unregistered registrable instrument tendered with the intent to prove title or interest in land as follows: </w:t>
      </w:r>
    </w:p>
    <w:p w:rsidR="006F7EA7" w:rsidRPr="000750A4" w:rsidRDefault="006F7EA7" w:rsidP="002B6375">
      <w:pPr>
        <w:spacing w:after="0" w:line="360" w:lineRule="auto"/>
        <w:ind w:left="90"/>
        <w:jc w:val="both"/>
        <w:rPr>
          <w:rFonts w:ascii="Times New Roman" w:hAnsi="Times New Roman" w:cs="Times New Roman"/>
          <w:i/>
          <w:sz w:val="24"/>
          <w:szCs w:val="24"/>
        </w:rPr>
      </w:pPr>
      <w:r w:rsidRPr="000750A4">
        <w:rPr>
          <w:rFonts w:ascii="Times New Roman" w:hAnsi="Times New Roman" w:cs="Times New Roman"/>
          <w:i/>
          <w:sz w:val="24"/>
          <w:szCs w:val="24"/>
        </w:rPr>
        <w:t xml:space="preserve">An unregistered registrable instrument, sought to be tendered for the purpose of proving or establishing title to land or interest in land, would be inadmissible </w:t>
      </w:r>
      <w:r w:rsidRPr="000750A4">
        <w:rPr>
          <w:rFonts w:ascii="Times New Roman" w:hAnsi="Times New Roman" w:cs="Times New Roman"/>
          <w:i/>
          <w:sz w:val="24"/>
          <w:szCs w:val="24"/>
        </w:rPr>
        <w:t>under section 15 of the L</w:t>
      </w:r>
      <w:r w:rsidRPr="000750A4">
        <w:rPr>
          <w:rFonts w:ascii="Times New Roman" w:hAnsi="Times New Roman" w:cs="Times New Roman"/>
          <w:i/>
          <w:sz w:val="24"/>
          <w:szCs w:val="24"/>
        </w:rPr>
        <w:t>and Instruments Registration Law</w:t>
      </w:r>
      <w:r w:rsidRPr="000750A4">
        <w:rPr>
          <w:rFonts w:ascii="Times New Roman" w:hAnsi="Times New Roman" w:cs="Times New Roman"/>
          <w:i/>
          <w:sz w:val="24"/>
          <w:szCs w:val="24"/>
        </w:rPr>
        <w:t xml:space="preserve">… </w:t>
      </w:r>
    </w:p>
    <w:p w:rsidR="000750A4" w:rsidRPr="000750A4" w:rsidRDefault="000750A4" w:rsidP="002B6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apex court, (per Abba-Aji Presiding) held that s</w:t>
      </w:r>
      <w:r w:rsidRPr="000750A4">
        <w:rPr>
          <w:rFonts w:ascii="Times New Roman" w:hAnsi="Times New Roman" w:cs="Times New Roman"/>
          <w:sz w:val="24"/>
          <w:szCs w:val="24"/>
        </w:rPr>
        <w:t xml:space="preserve">ince </w:t>
      </w:r>
      <w:r>
        <w:rPr>
          <w:rFonts w:ascii="Times New Roman" w:hAnsi="Times New Roman" w:cs="Times New Roman"/>
          <w:sz w:val="24"/>
          <w:szCs w:val="24"/>
        </w:rPr>
        <w:t>exhibit C was tendered to prove joint title to the disputed land, it was</w:t>
      </w:r>
      <w:r w:rsidR="00811F46">
        <w:rPr>
          <w:rFonts w:ascii="Times New Roman" w:hAnsi="Times New Roman" w:cs="Times New Roman"/>
          <w:sz w:val="24"/>
          <w:szCs w:val="24"/>
        </w:rPr>
        <w:t xml:space="preserve"> bound to suffer the same fate (page 44, D-F). </w:t>
      </w:r>
    </w:p>
    <w:p w:rsidR="00CE7335" w:rsidRPr="005755EC" w:rsidRDefault="00144335" w:rsidP="002B6375">
      <w:pPr>
        <w:pStyle w:val="ListParagraph"/>
        <w:numPr>
          <w:ilvl w:val="0"/>
          <w:numId w:val="3"/>
        </w:numPr>
        <w:spacing w:after="0" w:line="360" w:lineRule="auto"/>
        <w:ind w:left="450"/>
        <w:jc w:val="both"/>
        <w:rPr>
          <w:rFonts w:ascii="Times New Roman" w:hAnsi="Times New Roman" w:cs="Times New Roman"/>
          <w:b/>
          <w:sz w:val="24"/>
          <w:szCs w:val="24"/>
        </w:rPr>
      </w:pPr>
      <w:r>
        <w:rPr>
          <w:rFonts w:ascii="Times New Roman" w:hAnsi="Times New Roman" w:cs="Times New Roman"/>
          <w:sz w:val="24"/>
          <w:szCs w:val="24"/>
        </w:rPr>
        <w:t>Whilst an unregistered registrable instrument would be inadmissible to prove title to land, it can be tendered and admitted in evidence</w:t>
      </w:r>
      <w:r w:rsidR="005755EC">
        <w:rPr>
          <w:rFonts w:ascii="Times New Roman" w:hAnsi="Times New Roman" w:cs="Times New Roman"/>
          <w:sz w:val="24"/>
          <w:szCs w:val="24"/>
        </w:rPr>
        <w:t xml:space="preserve"> to show proof of transaction and payment of purchase money or rent in favour of a purchaser of land or a lessee in possession of the land. Referring to its earlier decision in </w:t>
      </w:r>
      <w:r w:rsidR="005755EC" w:rsidRPr="00D411CE">
        <w:rPr>
          <w:rFonts w:ascii="Times New Roman" w:hAnsi="Times New Roman" w:cs="Times New Roman"/>
          <w:i/>
          <w:sz w:val="24"/>
          <w:szCs w:val="24"/>
        </w:rPr>
        <w:t>Okoye v. Dumez</w:t>
      </w:r>
      <w:r w:rsidR="005755EC">
        <w:rPr>
          <w:rFonts w:ascii="Times New Roman" w:hAnsi="Times New Roman" w:cs="Times New Roman"/>
          <w:sz w:val="24"/>
          <w:szCs w:val="24"/>
        </w:rPr>
        <w:t xml:space="preserve"> (supra), the Supreme Court held that the proof of such transaction or payment can create an equitable interest in favour of such purchaser/lessee and such interest can only be defeated </w:t>
      </w:r>
      <w:r w:rsidR="005755EC" w:rsidRPr="00C22A56">
        <w:rPr>
          <w:rFonts w:ascii="Times New Roman" w:hAnsi="Times New Roman" w:cs="Times New Roman"/>
          <w:sz w:val="24"/>
          <w:szCs w:val="24"/>
        </w:rPr>
        <w:t>by a purchaser of the land for</w:t>
      </w:r>
      <w:r w:rsidR="005755EC">
        <w:rPr>
          <w:rFonts w:ascii="Times New Roman" w:hAnsi="Times New Roman" w:cs="Times New Roman"/>
          <w:sz w:val="24"/>
          <w:szCs w:val="24"/>
        </w:rPr>
        <w:t xml:space="preserve"> </w:t>
      </w:r>
      <w:r w:rsidR="005755EC" w:rsidRPr="00C22A56">
        <w:rPr>
          <w:rFonts w:ascii="Times New Roman" w:hAnsi="Times New Roman" w:cs="Times New Roman"/>
          <w:sz w:val="24"/>
          <w:szCs w:val="24"/>
        </w:rPr>
        <w:t>value wit</w:t>
      </w:r>
      <w:r w:rsidR="0051711F">
        <w:rPr>
          <w:rFonts w:ascii="Times New Roman" w:hAnsi="Times New Roman" w:cs="Times New Roman"/>
          <w:sz w:val="24"/>
          <w:szCs w:val="24"/>
        </w:rPr>
        <w:t>hout notice of the prior equity</w:t>
      </w:r>
      <w:r w:rsidR="005755EC">
        <w:rPr>
          <w:rFonts w:ascii="Times New Roman" w:hAnsi="Times New Roman" w:cs="Times New Roman"/>
          <w:sz w:val="24"/>
          <w:szCs w:val="24"/>
        </w:rPr>
        <w:t xml:space="preserve"> (see page 41, para F-page 42, para A)</w:t>
      </w:r>
      <w:r w:rsidR="0051711F">
        <w:rPr>
          <w:rFonts w:ascii="Times New Roman" w:hAnsi="Times New Roman" w:cs="Times New Roman"/>
          <w:sz w:val="24"/>
          <w:szCs w:val="24"/>
        </w:rPr>
        <w:t>.</w:t>
      </w:r>
    </w:p>
    <w:p w:rsidR="0059106B" w:rsidRDefault="00D411CE" w:rsidP="0059106B">
      <w:pPr>
        <w:pStyle w:val="ListParagraph"/>
        <w:numPr>
          <w:ilvl w:val="0"/>
          <w:numId w:val="3"/>
        </w:numPr>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If a court</w:t>
      </w:r>
      <w:r w:rsidR="0051711F">
        <w:rPr>
          <w:rFonts w:ascii="Times New Roman" w:hAnsi="Times New Roman" w:cs="Times New Roman"/>
          <w:sz w:val="24"/>
          <w:szCs w:val="24"/>
        </w:rPr>
        <w:t>, trial or appellate,</w:t>
      </w:r>
      <w:r>
        <w:rPr>
          <w:rFonts w:ascii="Times New Roman" w:hAnsi="Times New Roman" w:cs="Times New Roman"/>
          <w:sz w:val="24"/>
          <w:szCs w:val="24"/>
        </w:rPr>
        <w:t xml:space="preserve"> has </w:t>
      </w:r>
      <w:r w:rsidR="0051711F">
        <w:rPr>
          <w:rFonts w:ascii="Times New Roman" w:hAnsi="Times New Roman" w:cs="Times New Roman"/>
          <w:sz w:val="24"/>
          <w:szCs w:val="24"/>
        </w:rPr>
        <w:t xml:space="preserve">by oversight or inadvertence admitted in the course of proceedings a piece of evidence which it later discovers, at the time of judgment, to be inadmissible in law, it is entitled, in the interest of justice, to reverse its earlier decision </w:t>
      </w:r>
      <w:r w:rsidR="0051711F">
        <w:rPr>
          <w:rFonts w:ascii="Times New Roman" w:hAnsi="Times New Roman" w:cs="Times New Roman"/>
          <w:sz w:val="24"/>
          <w:szCs w:val="24"/>
        </w:rPr>
        <w:lastRenderedPageBreak/>
        <w:t>admit</w:t>
      </w:r>
      <w:r w:rsidR="00F520BE">
        <w:rPr>
          <w:rFonts w:ascii="Times New Roman" w:hAnsi="Times New Roman" w:cs="Times New Roman"/>
          <w:sz w:val="24"/>
          <w:szCs w:val="24"/>
        </w:rPr>
        <w:t>ting that evidence and reject</w:t>
      </w:r>
      <w:r w:rsidR="0051711F">
        <w:rPr>
          <w:rFonts w:ascii="Times New Roman" w:hAnsi="Times New Roman" w:cs="Times New Roman"/>
          <w:sz w:val="24"/>
          <w:szCs w:val="24"/>
        </w:rPr>
        <w:t xml:space="preserve"> it wholly (see page 45, para H-page 46</w:t>
      </w:r>
      <w:r w:rsidR="004579A3">
        <w:rPr>
          <w:rFonts w:ascii="Times New Roman" w:hAnsi="Times New Roman" w:cs="Times New Roman"/>
          <w:sz w:val="24"/>
          <w:szCs w:val="24"/>
        </w:rPr>
        <w:t xml:space="preserve">, para A). See also </w:t>
      </w:r>
      <w:r w:rsidR="00F520BE" w:rsidRPr="008C14BB">
        <w:rPr>
          <w:rFonts w:ascii="Times New Roman" w:hAnsi="Times New Roman" w:cs="Times New Roman"/>
          <w:i/>
          <w:sz w:val="24"/>
          <w:szCs w:val="24"/>
        </w:rPr>
        <w:t>National &amp; Properties Co. Ltd. v. Thompson Organisation Ltd</w:t>
      </w:r>
      <w:r w:rsidR="00F520BE" w:rsidRPr="008C14BB">
        <w:rPr>
          <w:rFonts w:ascii="Times New Roman" w:hAnsi="Times New Roman" w:cs="Times New Roman"/>
          <w:sz w:val="24"/>
          <w:szCs w:val="24"/>
        </w:rPr>
        <w:t xml:space="preserve">. </w:t>
      </w:r>
      <w:r w:rsidR="00F520BE">
        <w:rPr>
          <w:rFonts w:ascii="Times New Roman" w:hAnsi="Times New Roman" w:cs="Times New Roman"/>
          <w:sz w:val="24"/>
          <w:szCs w:val="24"/>
        </w:rPr>
        <w:t xml:space="preserve">(1969) 1 All NLR 138; and </w:t>
      </w:r>
      <w:r w:rsidR="00F520BE" w:rsidRPr="008C14BB">
        <w:rPr>
          <w:rFonts w:ascii="Times New Roman" w:hAnsi="Times New Roman" w:cs="Times New Roman"/>
          <w:i/>
          <w:sz w:val="24"/>
          <w:szCs w:val="24"/>
        </w:rPr>
        <w:t>Abubakar</w:t>
      </w:r>
      <w:r w:rsidR="00F520BE">
        <w:rPr>
          <w:rFonts w:ascii="Times New Roman" w:hAnsi="Times New Roman" w:cs="Times New Roman"/>
          <w:i/>
          <w:sz w:val="24"/>
          <w:szCs w:val="24"/>
        </w:rPr>
        <w:t xml:space="preserve"> </w:t>
      </w:r>
      <w:r w:rsidR="00F520BE" w:rsidRPr="008C14BB">
        <w:rPr>
          <w:rFonts w:ascii="Times New Roman" w:hAnsi="Times New Roman" w:cs="Times New Roman"/>
          <w:i/>
          <w:sz w:val="24"/>
          <w:szCs w:val="24"/>
        </w:rPr>
        <w:t>v. Chuks</w:t>
      </w:r>
      <w:r w:rsidR="00F520BE">
        <w:rPr>
          <w:rFonts w:ascii="Times New Roman" w:hAnsi="Times New Roman" w:cs="Times New Roman"/>
          <w:sz w:val="24"/>
          <w:szCs w:val="24"/>
        </w:rPr>
        <w:t xml:space="preserve"> (2007) 18 NWLR (Pt.1066) 386. </w:t>
      </w:r>
    </w:p>
    <w:p w:rsidR="00BF5256" w:rsidRPr="00BF5256" w:rsidRDefault="00F520BE" w:rsidP="00BF5256">
      <w:pPr>
        <w:pStyle w:val="ListParagraph"/>
        <w:numPr>
          <w:ilvl w:val="0"/>
          <w:numId w:val="3"/>
        </w:numPr>
        <w:spacing w:after="0" w:line="360" w:lineRule="auto"/>
        <w:ind w:left="450"/>
        <w:jc w:val="both"/>
        <w:rPr>
          <w:rFonts w:ascii="Times New Roman" w:hAnsi="Times New Roman" w:cs="Times New Roman"/>
          <w:sz w:val="24"/>
          <w:szCs w:val="24"/>
        </w:rPr>
      </w:pPr>
      <w:r w:rsidRPr="0059106B">
        <w:rPr>
          <w:rFonts w:ascii="Times New Roman" w:hAnsi="Times New Roman" w:cs="Times New Roman"/>
          <w:sz w:val="24"/>
          <w:szCs w:val="24"/>
        </w:rPr>
        <w:t>The appellant’s contention that the 2</w:t>
      </w:r>
      <w:r w:rsidRPr="0059106B">
        <w:rPr>
          <w:rFonts w:ascii="Times New Roman" w:hAnsi="Times New Roman" w:cs="Times New Roman"/>
          <w:sz w:val="24"/>
          <w:szCs w:val="24"/>
          <w:vertAlign w:val="superscript"/>
        </w:rPr>
        <w:t>nd</w:t>
      </w:r>
      <w:r w:rsidRPr="0059106B">
        <w:rPr>
          <w:rFonts w:ascii="Times New Roman" w:hAnsi="Times New Roman" w:cs="Times New Roman"/>
          <w:sz w:val="24"/>
          <w:szCs w:val="24"/>
        </w:rPr>
        <w:t xml:space="preserve"> respondent signed the deed of agreement is example of an affirmative assertion, whilst the 2</w:t>
      </w:r>
      <w:r w:rsidRPr="0059106B">
        <w:rPr>
          <w:rFonts w:ascii="Times New Roman" w:hAnsi="Times New Roman" w:cs="Times New Roman"/>
          <w:sz w:val="24"/>
          <w:szCs w:val="24"/>
          <w:vertAlign w:val="superscript"/>
        </w:rPr>
        <w:t>nd</w:t>
      </w:r>
      <w:r w:rsidRPr="0059106B">
        <w:rPr>
          <w:rFonts w:ascii="Times New Roman" w:hAnsi="Times New Roman" w:cs="Times New Roman"/>
          <w:sz w:val="24"/>
          <w:szCs w:val="24"/>
        </w:rPr>
        <w:t xml:space="preserve"> respondent’s disclaimer/renunciation of the execution of the agreement exemplifies </w:t>
      </w:r>
      <w:r w:rsidRPr="0059106B">
        <w:rPr>
          <w:rFonts w:ascii="Times New Roman" w:hAnsi="Times New Roman" w:cs="Times New Roman"/>
          <w:i/>
          <w:sz w:val="24"/>
          <w:szCs w:val="24"/>
        </w:rPr>
        <w:t>‘non est factum’</w:t>
      </w:r>
      <w:r w:rsidRPr="0059106B">
        <w:rPr>
          <w:rFonts w:ascii="Times New Roman" w:hAnsi="Times New Roman" w:cs="Times New Roman"/>
          <w:sz w:val="24"/>
          <w:szCs w:val="24"/>
        </w:rPr>
        <w:t xml:space="preserve">. As such, </w:t>
      </w:r>
      <w:r w:rsidRPr="0059106B">
        <w:rPr>
          <w:rFonts w:ascii="Times New Roman" w:hAnsi="Times New Roman" w:cs="Times New Roman"/>
          <w:i/>
          <w:sz w:val="24"/>
          <w:szCs w:val="24"/>
        </w:rPr>
        <w:t>“</w:t>
      </w:r>
      <w:r w:rsidRPr="0059106B">
        <w:rPr>
          <w:rFonts w:ascii="Times New Roman" w:hAnsi="Times New Roman" w:cs="Times New Roman"/>
          <w:b/>
          <w:i/>
          <w:sz w:val="24"/>
          <w:szCs w:val="24"/>
        </w:rPr>
        <w:t>the burden to prove the 2</w:t>
      </w:r>
      <w:r w:rsidRPr="0059106B">
        <w:rPr>
          <w:rFonts w:ascii="Times New Roman" w:hAnsi="Times New Roman" w:cs="Times New Roman"/>
          <w:b/>
          <w:i/>
          <w:sz w:val="24"/>
          <w:szCs w:val="24"/>
          <w:vertAlign w:val="superscript"/>
        </w:rPr>
        <w:t>nd</w:t>
      </w:r>
      <w:r w:rsidRPr="0059106B">
        <w:rPr>
          <w:rFonts w:ascii="Times New Roman" w:hAnsi="Times New Roman" w:cs="Times New Roman"/>
          <w:b/>
          <w:i/>
          <w:sz w:val="24"/>
          <w:szCs w:val="24"/>
        </w:rPr>
        <w:t xml:space="preserve"> respondent’s due execution of the deed of agreement, albeit on</w:t>
      </w:r>
      <w:r w:rsidRPr="0059106B">
        <w:rPr>
          <w:rFonts w:ascii="Times New Roman" w:hAnsi="Times New Roman" w:cs="Times New Roman"/>
          <w:b/>
          <w:i/>
          <w:sz w:val="24"/>
          <w:szCs w:val="24"/>
        </w:rPr>
        <w:t xml:space="preserve"> the balance of probabilities or preponderance of evidence, as declared by the provision of section 134 of the Evidence Act 2011, resided on the appe</w:t>
      </w:r>
      <w:r w:rsidR="00012EEC" w:rsidRPr="0059106B">
        <w:rPr>
          <w:rFonts w:ascii="Times New Roman" w:hAnsi="Times New Roman" w:cs="Times New Roman"/>
          <w:b/>
          <w:i/>
          <w:sz w:val="24"/>
          <w:szCs w:val="24"/>
        </w:rPr>
        <w:t>llant who asserted the positive</w:t>
      </w:r>
      <w:r w:rsidR="00012EEC" w:rsidRPr="0059106B">
        <w:rPr>
          <w:rFonts w:ascii="Times New Roman" w:hAnsi="Times New Roman" w:cs="Times New Roman"/>
          <w:i/>
          <w:sz w:val="24"/>
          <w:szCs w:val="24"/>
        </w:rPr>
        <w:t xml:space="preserve">” </w:t>
      </w:r>
      <w:r w:rsidR="00012EEC" w:rsidRPr="0059106B">
        <w:rPr>
          <w:rFonts w:ascii="Times New Roman" w:hAnsi="Times New Roman" w:cs="Times New Roman"/>
          <w:sz w:val="24"/>
          <w:szCs w:val="24"/>
        </w:rPr>
        <w:t>(see page 49, para. G).</w:t>
      </w:r>
      <w:r w:rsidR="00012EEC" w:rsidRPr="0059106B">
        <w:rPr>
          <w:rFonts w:ascii="Times New Roman" w:hAnsi="Times New Roman" w:cs="Times New Roman"/>
          <w:b/>
          <w:sz w:val="24"/>
          <w:szCs w:val="24"/>
        </w:rPr>
        <w:t xml:space="preserve"> </w:t>
      </w:r>
    </w:p>
    <w:p w:rsidR="004D3EAE" w:rsidRPr="00BF5256" w:rsidRDefault="00242889" w:rsidP="00BF5256">
      <w:pPr>
        <w:pStyle w:val="ListParagraph"/>
        <w:numPr>
          <w:ilvl w:val="0"/>
          <w:numId w:val="3"/>
        </w:numPr>
        <w:spacing w:after="0" w:line="360" w:lineRule="auto"/>
        <w:ind w:left="450"/>
        <w:jc w:val="both"/>
        <w:rPr>
          <w:rFonts w:ascii="Times New Roman" w:hAnsi="Times New Roman" w:cs="Times New Roman"/>
          <w:sz w:val="24"/>
          <w:szCs w:val="24"/>
        </w:rPr>
      </w:pPr>
      <w:r w:rsidRPr="00BF5256">
        <w:rPr>
          <w:rFonts w:ascii="Times New Roman" w:hAnsi="Times New Roman" w:cs="Times New Roman"/>
          <w:sz w:val="24"/>
          <w:szCs w:val="24"/>
        </w:rPr>
        <w:t>The grant</w:t>
      </w:r>
      <w:r w:rsidR="004F6759" w:rsidRPr="00BF5256">
        <w:rPr>
          <w:rFonts w:ascii="Times New Roman" w:hAnsi="Times New Roman" w:cs="Times New Roman"/>
          <w:sz w:val="24"/>
          <w:szCs w:val="24"/>
        </w:rPr>
        <w:t>s</w:t>
      </w:r>
      <w:r w:rsidR="00CF1CD7">
        <w:rPr>
          <w:rFonts w:ascii="Times New Roman" w:hAnsi="Times New Roman" w:cs="Times New Roman"/>
          <w:sz w:val="24"/>
          <w:szCs w:val="24"/>
        </w:rPr>
        <w:t xml:space="preserve"> of prayer (iii) – that </w:t>
      </w:r>
      <w:r w:rsidRPr="00BF5256">
        <w:rPr>
          <w:rFonts w:ascii="Times New Roman" w:hAnsi="Times New Roman" w:cs="Times New Roman"/>
          <w:sz w:val="24"/>
          <w:szCs w:val="24"/>
        </w:rPr>
        <w:t>is</w:t>
      </w:r>
      <w:r w:rsidR="00255036" w:rsidRPr="00BF5256">
        <w:rPr>
          <w:rFonts w:ascii="Times New Roman" w:hAnsi="Times New Roman" w:cs="Times New Roman"/>
          <w:sz w:val="24"/>
          <w:szCs w:val="24"/>
        </w:rPr>
        <w:t>,</w:t>
      </w:r>
      <w:r w:rsidRPr="00BF5256">
        <w:rPr>
          <w:rFonts w:ascii="Times New Roman" w:hAnsi="Times New Roman" w:cs="Times New Roman"/>
          <w:sz w:val="24"/>
          <w:szCs w:val="24"/>
        </w:rPr>
        <w:t xml:space="preserve"> the </w:t>
      </w:r>
      <w:r w:rsidRPr="00BF5256">
        <w:rPr>
          <w:rFonts w:ascii="Times New Roman" w:hAnsi="Times New Roman" w:cs="Times New Roman"/>
          <w:sz w:val="24"/>
          <w:szCs w:val="24"/>
        </w:rPr>
        <w:t>nullification of the deed of agreement</w:t>
      </w:r>
      <w:r w:rsidR="004F6759" w:rsidRPr="00BF5256">
        <w:rPr>
          <w:rFonts w:ascii="Times New Roman" w:hAnsi="Times New Roman" w:cs="Times New Roman"/>
          <w:sz w:val="24"/>
          <w:szCs w:val="24"/>
        </w:rPr>
        <w:t xml:space="preserve">, the exhibit C </w:t>
      </w:r>
      <w:r w:rsidR="00CF1CD7">
        <w:rPr>
          <w:rFonts w:ascii="Times New Roman" w:hAnsi="Times New Roman" w:cs="Times New Roman"/>
          <w:sz w:val="24"/>
          <w:szCs w:val="24"/>
        </w:rPr>
        <w:t xml:space="preserve">– and </w:t>
      </w:r>
      <w:r w:rsidR="004F6759" w:rsidRPr="00BF5256">
        <w:rPr>
          <w:rFonts w:ascii="Times New Roman" w:hAnsi="Times New Roman" w:cs="Times New Roman"/>
          <w:sz w:val="24"/>
          <w:szCs w:val="24"/>
        </w:rPr>
        <w:t>prayer (</w:t>
      </w:r>
      <w:r w:rsidR="00CF1CD7">
        <w:rPr>
          <w:rFonts w:ascii="Times New Roman" w:hAnsi="Times New Roman" w:cs="Times New Roman"/>
          <w:sz w:val="24"/>
          <w:szCs w:val="24"/>
        </w:rPr>
        <w:t xml:space="preserve">v) – the </w:t>
      </w:r>
      <w:r w:rsidR="004F6759" w:rsidRPr="00BF5256">
        <w:rPr>
          <w:rFonts w:ascii="Times New Roman" w:hAnsi="Times New Roman" w:cs="Times New Roman"/>
          <w:sz w:val="24"/>
          <w:szCs w:val="24"/>
        </w:rPr>
        <w:t xml:space="preserve">setting aside of the same agreement </w:t>
      </w:r>
      <w:r w:rsidR="00CF1CD7">
        <w:rPr>
          <w:rFonts w:ascii="Times New Roman" w:hAnsi="Times New Roman" w:cs="Times New Roman"/>
          <w:sz w:val="24"/>
          <w:szCs w:val="24"/>
        </w:rPr>
        <w:t xml:space="preserve">– </w:t>
      </w:r>
      <w:r w:rsidR="004F6759" w:rsidRPr="00BF5256">
        <w:rPr>
          <w:rFonts w:ascii="Times New Roman" w:hAnsi="Times New Roman" w:cs="Times New Roman"/>
          <w:sz w:val="24"/>
          <w:szCs w:val="24"/>
        </w:rPr>
        <w:t>ar</w:t>
      </w:r>
      <w:r w:rsidR="00CF1CD7">
        <w:rPr>
          <w:rFonts w:ascii="Times New Roman" w:hAnsi="Times New Roman" w:cs="Times New Roman"/>
          <w:sz w:val="24"/>
          <w:szCs w:val="24"/>
        </w:rPr>
        <w:t xml:space="preserve">e </w:t>
      </w:r>
      <w:r w:rsidR="004F6759" w:rsidRPr="00BF5256">
        <w:rPr>
          <w:rFonts w:ascii="Times New Roman" w:hAnsi="Times New Roman" w:cs="Times New Roman"/>
          <w:sz w:val="24"/>
          <w:szCs w:val="24"/>
        </w:rPr>
        <w:t xml:space="preserve">not contradictory. As the court explained, </w:t>
      </w:r>
      <w:r w:rsidR="004F6759" w:rsidRPr="00BF5256">
        <w:rPr>
          <w:rFonts w:ascii="Times New Roman" w:hAnsi="Times New Roman" w:cs="Times New Roman"/>
          <w:b/>
          <w:i/>
          <w:sz w:val="24"/>
          <w:szCs w:val="24"/>
        </w:rPr>
        <w:t xml:space="preserve">“a null decision or proceeding, in the view of the law, bestows no enforceable right on its beneficiary party, who is armed with it, nor does it impose any obligations on its victim party… </w:t>
      </w:r>
      <w:r w:rsidR="004F6759" w:rsidRPr="00BF5256">
        <w:rPr>
          <w:rFonts w:ascii="Times New Roman" w:hAnsi="Times New Roman" w:cs="Times New Roman"/>
          <w:b/>
          <w:i/>
          <w:sz w:val="24"/>
          <w:szCs w:val="24"/>
        </w:rPr>
        <w:t>the abiding duty of a court, vis-a-vis a null act, is to set it aside ex debito justitiae in that it does not exist in law</w:t>
      </w:r>
      <w:r w:rsidR="004F6759" w:rsidRPr="00BF5256">
        <w:rPr>
          <w:rFonts w:ascii="Times New Roman" w:hAnsi="Times New Roman" w:cs="Times New Roman"/>
          <w:b/>
          <w:i/>
          <w:sz w:val="24"/>
          <w:szCs w:val="24"/>
        </w:rPr>
        <w:t>.”</w:t>
      </w:r>
      <w:r w:rsidR="004F6759" w:rsidRPr="00BF5256">
        <w:rPr>
          <w:rFonts w:ascii="Times New Roman" w:hAnsi="Times New Roman" w:cs="Times New Roman"/>
          <w:sz w:val="24"/>
          <w:szCs w:val="24"/>
        </w:rPr>
        <w:t xml:space="preserve"> Thus, the nullification of the deed agreement and the setting aside of the same agreement are complementary judicial pronouncements </w:t>
      </w:r>
      <w:r w:rsidR="00566E91">
        <w:rPr>
          <w:rFonts w:ascii="Times New Roman" w:hAnsi="Times New Roman" w:cs="Times New Roman"/>
          <w:sz w:val="24"/>
          <w:szCs w:val="24"/>
        </w:rPr>
        <w:t xml:space="preserve">announcing </w:t>
      </w:r>
      <w:r w:rsidR="00C14B2C" w:rsidRPr="00BF5256">
        <w:rPr>
          <w:rFonts w:ascii="Times New Roman" w:hAnsi="Times New Roman" w:cs="Times New Roman"/>
          <w:sz w:val="24"/>
          <w:szCs w:val="24"/>
        </w:rPr>
        <w:t xml:space="preserve">its demise in the appeal (see page 54, para A-B). See also </w:t>
      </w:r>
      <w:r w:rsidR="00C14B2C" w:rsidRPr="00BF5256">
        <w:rPr>
          <w:rFonts w:ascii="Times New Roman" w:hAnsi="Times New Roman" w:cs="Times New Roman"/>
          <w:i/>
          <w:sz w:val="24"/>
          <w:szCs w:val="24"/>
        </w:rPr>
        <w:t>Oyeyemi v.</w:t>
      </w:r>
      <w:r w:rsidR="007B179D" w:rsidRPr="00BF5256">
        <w:rPr>
          <w:rFonts w:ascii="Times New Roman" w:hAnsi="Times New Roman" w:cs="Times New Roman"/>
          <w:i/>
          <w:sz w:val="24"/>
          <w:szCs w:val="24"/>
        </w:rPr>
        <w:t xml:space="preserve"> </w:t>
      </w:r>
      <w:r w:rsidR="00C14B2C" w:rsidRPr="00BF5256">
        <w:rPr>
          <w:rFonts w:ascii="Times New Roman" w:hAnsi="Times New Roman" w:cs="Times New Roman"/>
          <w:i/>
          <w:sz w:val="24"/>
          <w:szCs w:val="24"/>
        </w:rPr>
        <w:t>Owoeye</w:t>
      </w:r>
      <w:r w:rsidR="00C14B2C" w:rsidRPr="00BF5256">
        <w:rPr>
          <w:rFonts w:ascii="Times New Roman" w:hAnsi="Times New Roman" w:cs="Times New Roman"/>
          <w:sz w:val="24"/>
          <w:szCs w:val="24"/>
        </w:rPr>
        <w:t xml:space="preserve"> (2017) 12 NWLR (Pt. 1580) 364.</w:t>
      </w:r>
      <w:r w:rsidR="004D3EAE" w:rsidRPr="00BF5256">
        <w:rPr>
          <w:rFonts w:ascii="Times New Roman" w:hAnsi="Times New Roman" w:cs="Times New Roman"/>
          <w:sz w:val="24"/>
          <w:szCs w:val="24"/>
        </w:rPr>
        <w:t xml:space="preserve"> </w:t>
      </w:r>
    </w:p>
    <w:p w:rsidR="00307D96" w:rsidRPr="00307D96" w:rsidRDefault="00307D96" w:rsidP="004D3EAE">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NEW OUTLOOK  </w:t>
      </w:r>
    </w:p>
    <w:p w:rsidR="00081B71" w:rsidRDefault="00277091" w:rsidP="00081B71">
      <w:pPr>
        <w:spacing w:line="360" w:lineRule="auto"/>
        <w:jc w:val="both"/>
        <w:rPr>
          <w:rFonts w:ascii="Times New Roman" w:hAnsi="Times New Roman" w:cs="Times New Roman"/>
          <w:sz w:val="24"/>
          <w:szCs w:val="24"/>
        </w:rPr>
      </w:pPr>
      <w:r w:rsidRPr="00277091">
        <w:rPr>
          <w:rFonts w:ascii="Times New Roman" w:hAnsi="Times New Roman" w:cs="Times New Roman"/>
          <w:sz w:val="24"/>
          <w:szCs w:val="24"/>
        </w:rPr>
        <w:t>Prior to the Supreme Court’s</w:t>
      </w:r>
      <w:r w:rsidR="00081F40">
        <w:rPr>
          <w:rFonts w:ascii="Times New Roman" w:hAnsi="Times New Roman" w:cs="Times New Roman"/>
          <w:sz w:val="24"/>
          <w:szCs w:val="24"/>
        </w:rPr>
        <w:t xml:space="preserve"> decision in </w:t>
      </w:r>
      <w:r w:rsidR="00081F40" w:rsidRPr="00F954B2">
        <w:rPr>
          <w:rFonts w:ascii="Times New Roman" w:hAnsi="Times New Roman" w:cs="Times New Roman"/>
          <w:i/>
          <w:sz w:val="24"/>
          <w:szCs w:val="24"/>
        </w:rPr>
        <w:t>Taan v. SCOA</w:t>
      </w:r>
      <w:r w:rsidR="00081F40">
        <w:rPr>
          <w:rFonts w:ascii="Times New Roman" w:hAnsi="Times New Roman" w:cs="Times New Roman"/>
          <w:sz w:val="24"/>
          <w:szCs w:val="24"/>
        </w:rPr>
        <w:t>, it would seem to some legal prac</w:t>
      </w:r>
      <w:r w:rsidR="005B6571">
        <w:rPr>
          <w:rFonts w:ascii="Times New Roman" w:hAnsi="Times New Roman" w:cs="Times New Roman"/>
          <w:sz w:val="24"/>
          <w:szCs w:val="24"/>
        </w:rPr>
        <w:t>titioners and sc</w:t>
      </w:r>
      <w:r w:rsidR="00F954B2">
        <w:rPr>
          <w:rFonts w:ascii="Times New Roman" w:hAnsi="Times New Roman" w:cs="Times New Roman"/>
          <w:sz w:val="24"/>
          <w:szCs w:val="24"/>
        </w:rPr>
        <w:t>holars that the position of the law on the admissibility of unregistered registrab</w:t>
      </w:r>
      <w:r w:rsidR="0080545F">
        <w:rPr>
          <w:rFonts w:ascii="Times New Roman" w:hAnsi="Times New Roman" w:cs="Times New Roman"/>
          <w:sz w:val="24"/>
          <w:szCs w:val="24"/>
        </w:rPr>
        <w:t xml:space="preserve">le land instruments was unclear. However, the confusion that was seemingly created on this legal issue by the polarized views of the apex court in the cases of </w:t>
      </w:r>
      <w:r w:rsidR="0080545F" w:rsidRPr="0080545F">
        <w:rPr>
          <w:rFonts w:ascii="Times New Roman" w:hAnsi="Times New Roman" w:cs="Times New Roman"/>
          <w:i/>
          <w:sz w:val="24"/>
          <w:szCs w:val="24"/>
        </w:rPr>
        <w:t>Benjamin v. Kalio</w:t>
      </w:r>
      <w:r w:rsidR="0080545F">
        <w:rPr>
          <w:rFonts w:ascii="Times New Roman" w:hAnsi="Times New Roman" w:cs="Times New Roman"/>
          <w:sz w:val="24"/>
          <w:szCs w:val="24"/>
        </w:rPr>
        <w:t xml:space="preserve"> and </w:t>
      </w:r>
      <w:r w:rsidR="0080545F" w:rsidRPr="0080545F">
        <w:rPr>
          <w:rFonts w:ascii="Times New Roman" w:hAnsi="Times New Roman" w:cs="Times New Roman"/>
          <w:i/>
          <w:sz w:val="24"/>
          <w:szCs w:val="24"/>
        </w:rPr>
        <w:t>Abdullahi v. Adetutu</w:t>
      </w:r>
      <w:r w:rsidR="0080545F">
        <w:rPr>
          <w:rFonts w:ascii="Times New Roman" w:hAnsi="Times New Roman" w:cs="Times New Roman"/>
          <w:sz w:val="24"/>
          <w:szCs w:val="24"/>
        </w:rPr>
        <w:t xml:space="preserve"> stemmed from a lack of proper understanding of the depth and breadth of the principle as enunciated by the </w:t>
      </w:r>
      <w:r w:rsidR="002D3C38">
        <w:rPr>
          <w:rFonts w:ascii="Times New Roman" w:hAnsi="Times New Roman" w:cs="Times New Roman"/>
          <w:sz w:val="24"/>
          <w:szCs w:val="24"/>
        </w:rPr>
        <w:t xml:space="preserve">court. The pronouncement made by the apex court voiding provisions of state-made laws on land registration that pertain to evidence further complicated the matter. </w:t>
      </w:r>
      <w:r w:rsidR="003129C6">
        <w:rPr>
          <w:rFonts w:ascii="Times New Roman" w:hAnsi="Times New Roman" w:cs="Times New Roman"/>
          <w:sz w:val="24"/>
          <w:szCs w:val="24"/>
        </w:rPr>
        <w:t>One would be right to ask, i</w:t>
      </w:r>
      <w:r w:rsidR="002D3C38">
        <w:rPr>
          <w:rFonts w:ascii="Times New Roman" w:hAnsi="Times New Roman" w:cs="Times New Roman"/>
          <w:sz w:val="24"/>
          <w:szCs w:val="24"/>
        </w:rPr>
        <w:t xml:space="preserve">f </w:t>
      </w:r>
      <w:r w:rsidR="00555BA7">
        <w:rPr>
          <w:rFonts w:ascii="Times New Roman" w:hAnsi="Times New Roman" w:cs="Times New Roman"/>
          <w:sz w:val="24"/>
          <w:szCs w:val="24"/>
        </w:rPr>
        <w:t>our courts r</w:t>
      </w:r>
      <w:r w:rsidR="003129C6">
        <w:rPr>
          <w:rFonts w:ascii="Times New Roman" w:hAnsi="Times New Roman" w:cs="Times New Roman"/>
          <w:sz w:val="24"/>
          <w:szCs w:val="24"/>
        </w:rPr>
        <w:t xml:space="preserve">eject </w:t>
      </w:r>
      <w:r w:rsidR="00555BA7">
        <w:rPr>
          <w:rFonts w:ascii="Times New Roman" w:hAnsi="Times New Roman" w:cs="Times New Roman"/>
          <w:sz w:val="24"/>
          <w:szCs w:val="24"/>
        </w:rPr>
        <w:t>a registrable land instrument that was not registered</w:t>
      </w:r>
      <w:r w:rsidR="00555BA7">
        <w:rPr>
          <w:rFonts w:ascii="Times New Roman" w:hAnsi="Times New Roman" w:cs="Times New Roman"/>
          <w:sz w:val="24"/>
          <w:szCs w:val="24"/>
        </w:rPr>
        <w:t xml:space="preserve"> </w:t>
      </w:r>
      <w:r w:rsidR="003129C6">
        <w:rPr>
          <w:rFonts w:ascii="Times New Roman" w:hAnsi="Times New Roman" w:cs="Times New Roman"/>
          <w:sz w:val="24"/>
          <w:szCs w:val="24"/>
        </w:rPr>
        <w:t>as inad</w:t>
      </w:r>
      <w:r w:rsidR="00555BA7">
        <w:rPr>
          <w:rFonts w:ascii="Times New Roman" w:hAnsi="Times New Roman" w:cs="Times New Roman"/>
          <w:sz w:val="24"/>
          <w:szCs w:val="24"/>
        </w:rPr>
        <w:t xml:space="preserve">missible in evidence to prove title, what written law do they rely upon to reach such rulings, if not the Land Instrument Registration laws of respective states, as seen in the cases reviewed above. However, what is clear from our review of </w:t>
      </w:r>
      <w:r w:rsidR="00555BA7" w:rsidRPr="00555BA7">
        <w:rPr>
          <w:rFonts w:ascii="Times New Roman" w:hAnsi="Times New Roman" w:cs="Times New Roman"/>
          <w:i/>
          <w:sz w:val="24"/>
          <w:szCs w:val="24"/>
        </w:rPr>
        <w:t>Taan v. SCOA</w:t>
      </w:r>
      <w:r w:rsidR="00555BA7">
        <w:rPr>
          <w:rFonts w:ascii="Times New Roman" w:hAnsi="Times New Roman" w:cs="Times New Roman"/>
          <w:sz w:val="24"/>
          <w:szCs w:val="24"/>
        </w:rPr>
        <w:t xml:space="preserve"> and </w:t>
      </w:r>
      <w:r w:rsidR="00555BA7" w:rsidRPr="00426274">
        <w:rPr>
          <w:rFonts w:ascii="Times New Roman" w:hAnsi="Times New Roman" w:cs="Times New Roman"/>
          <w:i/>
          <w:sz w:val="24"/>
          <w:szCs w:val="24"/>
        </w:rPr>
        <w:t>Benjamin v. Kalio</w:t>
      </w:r>
      <w:r w:rsidR="00555BA7">
        <w:rPr>
          <w:rFonts w:ascii="Times New Roman" w:hAnsi="Times New Roman" w:cs="Times New Roman"/>
          <w:sz w:val="24"/>
          <w:szCs w:val="24"/>
        </w:rPr>
        <w:t xml:space="preserve"> is that the </w:t>
      </w:r>
      <w:r w:rsidR="00555BA7">
        <w:rPr>
          <w:rFonts w:ascii="Times New Roman" w:hAnsi="Times New Roman" w:cs="Times New Roman"/>
          <w:sz w:val="24"/>
          <w:szCs w:val="24"/>
        </w:rPr>
        <w:lastRenderedPageBreak/>
        <w:t xml:space="preserve">apex court’s reason for voiding </w:t>
      </w:r>
      <w:r w:rsidR="00555BA7" w:rsidRPr="00382F20">
        <w:rPr>
          <w:rFonts w:ascii="Times New Roman" w:hAnsi="Times New Roman" w:cs="Times New Roman"/>
          <w:i/>
          <w:sz w:val="24"/>
          <w:szCs w:val="24"/>
        </w:rPr>
        <w:t>Section 20</w:t>
      </w:r>
      <w:r w:rsidR="00555BA7" w:rsidRPr="00382F20">
        <w:rPr>
          <w:rFonts w:ascii="Times New Roman" w:hAnsi="Times New Roman" w:cs="Times New Roman"/>
          <w:sz w:val="24"/>
          <w:szCs w:val="24"/>
        </w:rPr>
        <w:t xml:space="preserve"> of t</w:t>
      </w:r>
      <w:r w:rsidR="00555BA7" w:rsidRPr="00382F20">
        <w:rPr>
          <w:rFonts w:ascii="Times New Roman" w:hAnsi="Times New Roman" w:cs="Times New Roman"/>
          <w:i/>
          <w:sz w:val="24"/>
          <w:szCs w:val="24"/>
        </w:rPr>
        <w:t>he Land Instruments (Preparation and Registration) Law of Rivers State</w:t>
      </w:r>
      <w:r w:rsidR="00555BA7" w:rsidRPr="00382F20">
        <w:rPr>
          <w:rFonts w:ascii="Times New Roman" w:hAnsi="Times New Roman" w:cs="Times New Roman"/>
          <w:sz w:val="24"/>
          <w:szCs w:val="24"/>
        </w:rPr>
        <w:t xml:space="preserve"> </w:t>
      </w:r>
      <w:r w:rsidR="00426274">
        <w:rPr>
          <w:rFonts w:ascii="Times New Roman" w:hAnsi="Times New Roman" w:cs="Times New Roman"/>
          <w:sz w:val="24"/>
          <w:szCs w:val="24"/>
        </w:rPr>
        <w:t xml:space="preserve">in the latter case </w:t>
      </w:r>
      <w:r w:rsidR="00555BA7">
        <w:rPr>
          <w:rFonts w:ascii="Times New Roman" w:hAnsi="Times New Roman" w:cs="Times New Roman"/>
          <w:sz w:val="24"/>
          <w:szCs w:val="24"/>
        </w:rPr>
        <w:t xml:space="preserve">was </w:t>
      </w:r>
      <w:r w:rsidR="00426274">
        <w:rPr>
          <w:rFonts w:ascii="Times New Roman" w:hAnsi="Times New Roman" w:cs="Times New Roman"/>
          <w:sz w:val="24"/>
          <w:szCs w:val="24"/>
        </w:rPr>
        <w:t xml:space="preserve">due to the legislation’s </w:t>
      </w:r>
      <w:r w:rsidR="00F33C7C">
        <w:rPr>
          <w:rFonts w:ascii="Times New Roman" w:hAnsi="Times New Roman" w:cs="Times New Roman"/>
          <w:sz w:val="24"/>
          <w:szCs w:val="24"/>
        </w:rPr>
        <w:t>preposterous</w:t>
      </w:r>
      <w:r w:rsidR="00382F20">
        <w:rPr>
          <w:rFonts w:ascii="Times New Roman" w:hAnsi="Times New Roman" w:cs="Times New Roman"/>
          <w:sz w:val="24"/>
          <w:szCs w:val="24"/>
        </w:rPr>
        <w:t>ness in jet</w:t>
      </w:r>
      <w:r w:rsidR="009269C6">
        <w:rPr>
          <w:rFonts w:ascii="Times New Roman" w:hAnsi="Times New Roman" w:cs="Times New Roman"/>
          <w:sz w:val="24"/>
          <w:szCs w:val="24"/>
        </w:rPr>
        <w:t xml:space="preserve">tisoning, for whatever purpose in pleadings or evidence, any land instrument </w:t>
      </w:r>
      <w:r w:rsidR="00EB6773">
        <w:rPr>
          <w:rFonts w:ascii="Times New Roman" w:hAnsi="Times New Roman" w:cs="Times New Roman"/>
          <w:sz w:val="24"/>
          <w:szCs w:val="24"/>
        </w:rPr>
        <w:t xml:space="preserve">that has not been registered. </w:t>
      </w:r>
      <w:r w:rsidR="00DC7B71">
        <w:rPr>
          <w:rFonts w:ascii="Times New Roman" w:hAnsi="Times New Roman" w:cs="Times New Roman"/>
          <w:sz w:val="24"/>
          <w:szCs w:val="24"/>
        </w:rPr>
        <w:t xml:space="preserve">No doubt, it was necessary to invalidate such a legislative provision, otherwise, it would have paralyzed for life any action where an unregistered registrable instrument would be pleaded and tendered in evidence, irrespective the nature of the case and the purpose for which the document is sought to be tendered in evidence. </w:t>
      </w:r>
    </w:p>
    <w:p w:rsidR="00081B71" w:rsidRDefault="00B66031" w:rsidP="00081B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Pr="00B66031">
        <w:rPr>
          <w:rFonts w:ascii="Times New Roman" w:hAnsi="Times New Roman" w:cs="Times New Roman"/>
          <w:i/>
          <w:sz w:val="24"/>
          <w:szCs w:val="24"/>
        </w:rPr>
        <w:t>Taan v. SCOA</w:t>
      </w:r>
      <w:r>
        <w:rPr>
          <w:rFonts w:ascii="Times New Roman" w:hAnsi="Times New Roman" w:cs="Times New Roman"/>
          <w:sz w:val="24"/>
          <w:szCs w:val="24"/>
        </w:rPr>
        <w:t>, it is evident that two questions guide the hearts and minds of the noble Lords of the Supreme Court whenever called upon to determine the admissibility of any unregistered registrable land instrument. The first, was it pleaded and tendered in evidence as ‘a land instrument’</w:t>
      </w:r>
      <w:r w:rsidR="00CF1AD5">
        <w:rPr>
          <w:rFonts w:ascii="Times New Roman" w:hAnsi="Times New Roman" w:cs="Times New Roman"/>
          <w:sz w:val="24"/>
          <w:szCs w:val="24"/>
        </w:rPr>
        <w:t xml:space="preserve"> or as</w:t>
      </w:r>
      <w:r>
        <w:rPr>
          <w:rFonts w:ascii="Times New Roman" w:hAnsi="Times New Roman" w:cs="Times New Roman"/>
          <w:sz w:val="24"/>
          <w:szCs w:val="24"/>
        </w:rPr>
        <w:t xml:space="preserve"> </w:t>
      </w:r>
      <w:r w:rsidR="00CB48EF">
        <w:rPr>
          <w:rFonts w:ascii="Times New Roman" w:hAnsi="Times New Roman" w:cs="Times New Roman"/>
          <w:sz w:val="24"/>
          <w:szCs w:val="24"/>
        </w:rPr>
        <w:t xml:space="preserve">some other </w:t>
      </w:r>
      <w:r>
        <w:rPr>
          <w:rFonts w:ascii="Times New Roman" w:hAnsi="Times New Roman" w:cs="Times New Roman"/>
          <w:sz w:val="24"/>
          <w:szCs w:val="24"/>
        </w:rPr>
        <w:t xml:space="preserve">document? And the second, </w:t>
      </w:r>
      <w:r w:rsidR="002C3BBF">
        <w:rPr>
          <w:rFonts w:ascii="Times New Roman" w:hAnsi="Times New Roman" w:cs="Times New Roman"/>
          <w:sz w:val="24"/>
          <w:szCs w:val="24"/>
        </w:rPr>
        <w:t xml:space="preserve">was </w:t>
      </w:r>
      <w:r>
        <w:rPr>
          <w:rFonts w:ascii="Times New Roman" w:hAnsi="Times New Roman" w:cs="Times New Roman"/>
          <w:sz w:val="24"/>
          <w:szCs w:val="24"/>
        </w:rPr>
        <w:t xml:space="preserve">it intended to prove title to the disputed land or for other purposes? The answers to these </w:t>
      </w:r>
      <w:r w:rsidR="00A01B14">
        <w:rPr>
          <w:rFonts w:ascii="Times New Roman" w:hAnsi="Times New Roman" w:cs="Times New Roman"/>
          <w:sz w:val="24"/>
          <w:szCs w:val="24"/>
        </w:rPr>
        <w:t xml:space="preserve">questions predicated the decisions of the court </w:t>
      </w:r>
      <w:r w:rsidR="00CC37A1">
        <w:rPr>
          <w:rFonts w:ascii="Times New Roman" w:hAnsi="Times New Roman" w:cs="Times New Roman"/>
          <w:sz w:val="24"/>
          <w:szCs w:val="24"/>
        </w:rPr>
        <w:t xml:space="preserve">in all the precedents leading up to </w:t>
      </w:r>
      <w:r w:rsidR="00CC37A1" w:rsidRPr="003223A6">
        <w:rPr>
          <w:rFonts w:ascii="Times New Roman" w:hAnsi="Times New Roman" w:cs="Times New Roman"/>
          <w:i/>
          <w:sz w:val="24"/>
          <w:szCs w:val="24"/>
        </w:rPr>
        <w:t>Taan v. SCOA</w:t>
      </w:r>
      <w:r w:rsidR="00CC37A1">
        <w:rPr>
          <w:rFonts w:ascii="Times New Roman" w:hAnsi="Times New Roman" w:cs="Times New Roman"/>
          <w:sz w:val="24"/>
          <w:szCs w:val="24"/>
        </w:rPr>
        <w:t xml:space="preserve">, and the divergence in decisions, particularly in </w:t>
      </w:r>
      <w:r w:rsidR="00CC37A1" w:rsidRPr="00CC37A1">
        <w:rPr>
          <w:rFonts w:ascii="Times New Roman" w:hAnsi="Times New Roman" w:cs="Times New Roman"/>
          <w:i/>
          <w:sz w:val="24"/>
          <w:szCs w:val="24"/>
        </w:rPr>
        <w:t>Benjamin v. Kalio</w:t>
      </w:r>
      <w:r w:rsidR="00CC37A1">
        <w:rPr>
          <w:rFonts w:ascii="Times New Roman" w:hAnsi="Times New Roman" w:cs="Times New Roman"/>
          <w:sz w:val="24"/>
          <w:szCs w:val="24"/>
        </w:rPr>
        <w:t xml:space="preserve"> and </w:t>
      </w:r>
      <w:r w:rsidR="00CC37A1" w:rsidRPr="00CC37A1">
        <w:rPr>
          <w:rFonts w:ascii="Times New Roman" w:hAnsi="Times New Roman" w:cs="Times New Roman"/>
          <w:i/>
          <w:sz w:val="24"/>
          <w:szCs w:val="24"/>
        </w:rPr>
        <w:t>Abdullahi v. Adetutu</w:t>
      </w:r>
      <w:r w:rsidR="003223A6">
        <w:rPr>
          <w:rFonts w:ascii="Times New Roman" w:hAnsi="Times New Roman" w:cs="Times New Roman"/>
          <w:sz w:val="24"/>
          <w:szCs w:val="24"/>
        </w:rPr>
        <w:t xml:space="preserve"> was due to</w:t>
      </w:r>
      <w:r w:rsidR="00CC37A1">
        <w:rPr>
          <w:rFonts w:ascii="Times New Roman" w:hAnsi="Times New Roman" w:cs="Times New Roman"/>
          <w:sz w:val="24"/>
          <w:szCs w:val="24"/>
        </w:rPr>
        <w:t xml:space="preserve"> the answers of th</w:t>
      </w:r>
      <w:r w:rsidR="003223A6">
        <w:rPr>
          <w:rFonts w:ascii="Times New Roman" w:hAnsi="Times New Roman" w:cs="Times New Roman"/>
          <w:sz w:val="24"/>
          <w:szCs w:val="24"/>
        </w:rPr>
        <w:t>e court to these two questions in the respective cases.</w:t>
      </w:r>
      <w:r w:rsidR="00D83D44">
        <w:rPr>
          <w:rFonts w:ascii="Times New Roman" w:hAnsi="Times New Roman" w:cs="Times New Roman"/>
          <w:sz w:val="24"/>
          <w:szCs w:val="24"/>
        </w:rPr>
        <w:t xml:space="preserve"> Thus, the decision in </w:t>
      </w:r>
      <w:r w:rsidR="00D83D44" w:rsidRPr="00D83D44">
        <w:rPr>
          <w:rFonts w:ascii="Times New Roman" w:hAnsi="Times New Roman" w:cs="Times New Roman"/>
          <w:i/>
          <w:sz w:val="24"/>
          <w:szCs w:val="24"/>
        </w:rPr>
        <w:t>Taan v. SCOA</w:t>
      </w:r>
      <w:r w:rsidR="00D83D44">
        <w:rPr>
          <w:rFonts w:ascii="Times New Roman" w:hAnsi="Times New Roman" w:cs="Times New Roman"/>
          <w:sz w:val="24"/>
          <w:szCs w:val="24"/>
        </w:rPr>
        <w:t xml:space="preserve"> is not a redefinition or departure from the extant legal rule but an illumination of the underlying principle guiding the court in its rulings on this issue. </w:t>
      </w:r>
    </w:p>
    <w:p w:rsidR="002004E0" w:rsidRDefault="002004E0" w:rsidP="00081B71">
      <w:pPr>
        <w:spacing w:line="360" w:lineRule="auto"/>
        <w:jc w:val="both"/>
        <w:rPr>
          <w:rFonts w:ascii="Times New Roman" w:hAnsi="Times New Roman" w:cs="Times New Roman"/>
          <w:sz w:val="24"/>
          <w:szCs w:val="24"/>
        </w:rPr>
      </w:pPr>
    </w:p>
    <w:p w:rsidR="002004E0" w:rsidRDefault="002004E0" w:rsidP="00081B71">
      <w:pPr>
        <w:spacing w:line="360" w:lineRule="auto"/>
        <w:jc w:val="both"/>
        <w:rPr>
          <w:rFonts w:ascii="Times New Roman" w:hAnsi="Times New Roman" w:cs="Times New Roman"/>
          <w:sz w:val="24"/>
          <w:szCs w:val="24"/>
        </w:rPr>
      </w:pPr>
      <w:r>
        <w:rPr>
          <w:rFonts w:ascii="Times New Roman" w:hAnsi="Times New Roman" w:cs="Times New Roman"/>
          <w:sz w:val="24"/>
          <w:szCs w:val="24"/>
        </w:rPr>
        <w:t>By</w:t>
      </w:r>
      <w:bookmarkStart w:id="0" w:name="_GoBack"/>
      <w:bookmarkEnd w:id="0"/>
    </w:p>
    <w:p w:rsidR="002004E0" w:rsidRPr="002004E0" w:rsidRDefault="002004E0" w:rsidP="00081B71">
      <w:pPr>
        <w:spacing w:line="360" w:lineRule="auto"/>
        <w:jc w:val="both"/>
        <w:rPr>
          <w:rFonts w:ascii="Times New Roman" w:hAnsi="Times New Roman" w:cs="Times New Roman"/>
          <w:b/>
          <w:sz w:val="24"/>
          <w:szCs w:val="24"/>
        </w:rPr>
      </w:pPr>
      <w:r w:rsidRPr="002004E0">
        <w:rPr>
          <w:rFonts w:ascii="Times New Roman" w:hAnsi="Times New Roman" w:cs="Times New Roman"/>
          <w:b/>
          <w:sz w:val="24"/>
          <w:szCs w:val="24"/>
        </w:rPr>
        <w:t xml:space="preserve">Adeyemi I. Aleshinloye, Esq. </w:t>
      </w:r>
    </w:p>
    <w:sectPr w:rsidR="002004E0" w:rsidRPr="002004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97B" w:rsidRDefault="00AB397B" w:rsidP="00BF326A">
      <w:pPr>
        <w:spacing w:after="0" w:line="240" w:lineRule="auto"/>
      </w:pPr>
      <w:r>
        <w:separator/>
      </w:r>
    </w:p>
  </w:endnote>
  <w:endnote w:type="continuationSeparator" w:id="0">
    <w:p w:rsidR="00AB397B" w:rsidRDefault="00AB397B" w:rsidP="00BF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921288"/>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rsidR="00BF326A" w:rsidRPr="00BF326A" w:rsidRDefault="00BF326A" w:rsidP="00BF326A">
        <w:pPr>
          <w:pStyle w:val="Footer"/>
          <w:pBdr>
            <w:top w:val="single" w:sz="4" w:space="1" w:color="D9D9D9" w:themeColor="background1" w:themeShade="D9"/>
          </w:pBdr>
          <w:spacing w:line="360" w:lineRule="auto"/>
          <w:jc w:val="both"/>
          <w:rPr>
            <w:rFonts w:ascii="Times New Roman" w:hAnsi="Times New Roman" w:cs="Times New Roman"/>
            <w:b/>
            <w:bCs/>
            <w:sz w:val="24"/>
            <w:szCs w:val="24"/>
          </w:rPr>
        </w:pPr>
        <w:r w:rsidRPr="00BF326A">
          <w:rPr>
            <w:rFonts w:ascii="Times New Roman" w:hAnsi="Times New Roman" w:cs="Times New Roman"/>
            <w:sz w:val="24"/>
            <w:szCs w:val="24"/>
          </w:rPr>
          <w:fldChar w:fldCharType="begin"/>
        </w:r>
        <w:r w:rsidRPr="00BF326A">
          <w:rPr>
            <w:rFonts w:ascii="Times New Roman" w:hAnsi="Times New Roman" w:cs="Times New Roman"/>
            <w:sz w:val="24"/>
            <w:szCs w:val="24"/>
          </w:rPr>
          <w:instrText xml:space="preserve"> PAGE   \* MERGEFORMAT </w:instrText>
        </w:r>
        <w:r w:rsidRPr="00BF326A">
          <w:rPr>
            <w:rFonts w:ascii="Times New Roman" w:hAnsi="Times New Roman" w:cs="Times New Roman"/>
            <w:sz w:val="24"/>
            <w:szCs w:val="24"/>
          </w:rPr>
          <w:fldChar w:fldCharType="separate"/>
        </w:r>
        <w:r w:rsidR="002004E0" w:rsidRPr="002004E0">
          <w:rPr>
            <w:rFonts w:ascii="Times New Roman" w:hAnsi="Times New Roman" w:cs="Times New Roman"/>
            <w:b/>
            <w:bCs/>
            <w:noProof/>
            <w:sz w:val="24"/>
            <w:szCs w:val="24"/>
          </w:rPr>
          <w:t>5</w:t>
        </w:r>
        <w:r w:rsidRPr="00BF326A">
          <w:rPr>
            <w:rFonts w:ascii="Times New Roman" w:hAnsi="Times New Roman" w:cs="Times New Roman"/>
            <w:b/>
            <w:bCs/>
            <w:noProof/>
            <w:sz w:val="24"/>
            <w:szCs w:val="24"/>
          </w:rPr>
          <w:fldChar w:fldCharType="end"/>
        </w:r>
        <w:r w:rsidRPr="00BF326A">
          <w:rPr>
            <w:rFonts w:ascii="Times New Roman" w:hAnsi="Times New Roman" w:cs="Times New Roman"/>
            <w:b/>
            <w:bCs/>
            <w:sz w:val="24"/>
            <w:szCs w:val="24"/>
          </w:rPr>
          <w:t xml:space="preserve"> | </w:t>
        </w:r>
        <w:r w:rsidRPr="00BF326A">
          <w:rPr>
            <w:rFonts w:ascii="Times New Roman" w:hAnsi="Times New Roman" w:cs="Times New Roman"/>
            <w:color w:val="7F7F7F" w:themeColor="background1" w:themeShade="7F"/>
            <w:spacing w:val="60"/>
            <w:sz w:val="24"/>
            <w:szCs w:val="24"/>
          </w:rPr>
          <w:t>Page</w:t>
        </w:r>
      </w:p>
    </w:sdtContent>
  </w:sdt>
  <w:p w:rsidR="00BF326A" w:rsidRDefault="00BF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97B" w:rsidRDefault="00AB397B" w:rsidP="00BF326A">
      <w:pPr>
        <w:spacing w:after="0" w:line="240" w:lineRule="auto"/>
      </w:pPr>
      <w:r>
        <w:separator/>
      </w:r>
    </w:p>
  </w:footnote>
  <w:footnote w:type="continuationSeparator" w:id="0">
    <w:p w:rsidR="00AB397B" w:rsidRDefault="00AB397B" w:rsidP="00BF3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B65B6"/>
    <w:multiLevelType w:val="hybridMultilevel"/>
    <w:tmpl w:val="0A12B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54E72"/>
    <w:multiLevelType w:val="multilevel"/>
    <w:tmpl w:val="7FECDF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DDB4BDD"/>
    <w:multiLevelType w:val="hybridMultilevel"/>
    <w:tmpl w:val="7EEEDE5A"/>
    <w:lvl w:ilvl="0" w:tplc="9F063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2F"/>
    <w:rsid w:val="000123A8"/>
    <w:rsid w:val="00012EEC"/>
    <w:rsid w:val="00015F50"/>
    <w:rsid w:val="00022972"/>
    <w:rsid w:val="00057E71"/>
    <w:rsid w:val="00061D62"/>
    <w:rsid w:val="0006334A"/>
    <w:rsid w:val="000750A4"/>
    <w:rsid w:val="000818D8"/>
    <w:rsid w:val="00081B71"/>
    <w:rsid w:val="00081F40"/>
    <w:rsid w:val="000A7289"/>
    <w:rsid w:val="000C59D7"/>
    <w:rsid w:val="000D7795"/>
    <w:rsid w:val="00103A46"/>
    <w:rsid w:val="001232CC"/>
    <w:rsid w:val="00124BFC"/>
    <w:rsid w:val="00134706"/>
    <w:rsid w:val="00144335"/>
    <w:rsid w:val="00147D67"/>
    <w:rsid w:val="00161AFA"/>
    <w:rsid w:val="00163647"/>
    <w:rsid w:val="00164A37"/>
    <w:rsid w:val="001673F6"/>
    <w:rsid w:val="00176CD8"/>
    <w:rsid w:val="0019112F"/>
    <w:rsid w:val="001D6060"/>
    <w:rsid w:val="001D6536"/>
    <w:rsid w:val="001E719A"/>
    <w:rsid w:val="001F6357"/>
    <w:rsid w:val="002004E0"/>
    <w:rsid w:val="00242889"/>
    <w:rsid w:val="00255036"/>
    <w:rsid w:val="002611B8"/>
    <w:rsid w:val="00275DA1"/>
    <w:rsid w:val="00275E98"/>
    <w:rsid w:val="00277091"/>
    <w:rsid w:val="002B6375"/>
    <w:rsid w:val="002C3BBF"/>
    <w:rsid w:val="002D3C38"/>
    <w:rsid w:val="002D5246"/>
    <w:rsid w:val="002E7AA6"/>
    <w:rsid w:val="002F10E5"/>
    <w:rsid w:val="002F5AC1"/>
    <w:rsid w:val="00307D96"/>
    <w:rsid w:val="003129C6"/>
    <w:rsid w:val="003223A6"/>
    <w:rsid w:val="00326F88"/>
    <w:rsid w:val="00330E5E"/>
    <w:rsid w:val="00357BE9"/>
    <w:rsid w:val="00382F20"/>
    <w:rsid w:val="003952A2"/>
    <w:rsid w:val="003A5168"/>
    <w:rsid w:val="003A5430"/>
    <w:rsid w:val="003C6653"/>
    <w:rsid w:val="003D47DB"/>
    <w:rsid w:val="003D4DD6"/>
    <w:rsid w:val="003E30C5"/>
    <w:rsid w:val="003F4B82"/>
    <w:rsid w:val="0042201A"/>
    <w:rsid w:val="00426274"/>
    <w:rsid w:val="004579A3"/>
    <w:rsid w:val="00475C88"/>
    <w:rsid w:val="0048473F"/>
    <w:rsid w:val="00492E50"/>
    <w:rsid w:val="004A08D2"/>
    <w:rsid w:val="004A2B3B"/>
    <w:rsid w:val="004B7AA7"/>
    <w:rsid w:val="004D3EAE"/>
    <w:rsid w:val="004D761C"/>
    <w:rsid w:val="004E5382"/>
    <w:rsid w:val="004F6759"/>
    <w:rsid w:val="0051711F"/>
    <w:rsid w:val="005213C9"/>
    <w:rsid w:val="00524275"/>
    <w:rsid w:val="0053040F"/>
    <w:rsid w:val="00546827"/>
    <w:rsid w:val="00555BA7"/>
    <w:rsid w:val="00566E91"/>
    <w:rsid w:val="00573B02"/>
    <w:rsid w:val="005755EC"/>
    <w:rsid w:val="0059106B"/>
    <w:rsid w:val="00592AC1"/>
    <w:rsid w:val="005B6571"/>
    <w:rsid w:val="005B6DB6"/>
    <w:rsid w:val="005C7A80"/>
    <w:rsid w:val="006048FD"/>
    <w:rsid w:val="00610E7A"/>
    <w:rsid w:val="00620742"/>
    <w:rsid w:val="006326A2"/>
    <w:rsid w:val="006341AF"/>
    <w:rsid w:val="00645094"/>
    <w:rsid w:val="00645AC5"/>
    <w:rsid w:val="0065554B"/>
    <w:rsid w:val="00681B36"/>
    <w:rsid w:val="00683956"/>
    <w:rsid w:val="00693E0C"/>
    <w:rsid w:val="006E0B87"/>
    <w:rsid w:val="006E6036"/>
    <w:rsid w:val="006F7EA7"/>
    <w:rsid w:val="00704894"/>
    <w:rsid w:val="00711010"/>
    <w:rsid w:val="00713E8C"/>
    <w:rsid w:val="00737A33"/>
    <w:rsid w:val="007668AA"/>
    <w:rsid w:val="0076797A"/>
    <w:rsid w:val="00786F90"/>
    <w:rsid w:val="00787473"/>
    <w:rsid w:val="007A7593"/>
    <w:rsid w:val="007B179D"/>
    <w:rsid w:val="007B2F37"/>
    <w:rsid w:val="007B530D"/>
    <w:rsid w:val="007C479D"/>
    <w:rsid w:val="007F2844"/>
    <w:rsid w:val="0080545F"/>
    <w:rsid w:val="00811F46"/>
    <w:rsid w:val="00826411"/>
    <w:rsid w:val="00841D22"/>
    <w:rsid w:val="00845265"/>
    <w:rsid w:val="00853AD7"/>
    <w:rsid w:val="008560BD"/>
    <w:rsid w:val="00861ED7"/>
    <w:rsid w:val="0086416A"/>
    <w:rsid w:val="00870A68"/>
    <w:rsid w:val="00873EB7"/>
    <w:rsid w:val="00874898"/>
    <w:rsid w:val="00882B67"/>
    <w:rsid w:val="008B3E77"/>
    <w:rsid w:val="008C14BB"/>
    <w:rsid w:val="008C70D7"/>
    <w:rsid w:val="008D1668"/>
    <w:rsid w:val="008E1266"/>
    <w:rsid w:val="009040A7"/>
    <w:rsid w:val="009062C1"/>
    <w:rsid w:val="009134E3"/>
    <w:rsid w:val="0092501D"/>
    <w:rsid w:val="009269C6"/>
    <w:rsid w:val="00932E42"/>
    <w:rsid w:val="009365DA"/>
    <w:rsid w:val="00956E29"/>
    <w:rsid w:val="00990747"/>
    <w:rsid w:val="009F0817"/>
    <w:rsid w:val="00A01B14"/>
    <w:rsid w:val="00A04C47"/>
    <w:rsid w:val="00A05109"/>
    <w:rsid w:val="00A07CE9"/>
    <w:rsid w:val="00A1562E"/>
    <w:rsid w:val="00A407D0"/>
    <w:rsid w:val="00A45513"/>
    <w:rsid w:val="00A604D8"/>
    <w:rsid w:val="00A71904"/>
    <w:rsid w:val="00A93E4A"/>
    <w:rsid w:val="00AB1756"/>
    <w:rsid w:val="00AB397B"/>
    <w:rsid w:val="00AD0F90"/>
    <w:rsid w:val="00AD4868"/>
    <w:rsid w:val="00AE1D57"/>
    <w:rsid w:val="00AF2622"/>
    <w:rsid w:val="00AF2C26"/>
    <w:rsid w:val="00AF7EDE"/>
    <w:rsid w:val="00B17F15"/>
    <w:rsid w:val="00B5707D"/>
    <w:rsid w:val="00B66031"/>
    <w:rsid w:val="00B92A18"/>
    <w:rsid w:val="00B9522E"/>
    <w:rsid w:val="00BB5DAB"/>
    <w:rsid w:val="00BB6193"/>
    <w:rsid w:val="00BD6879"/>
    <w:rsid w:val="00BF1397"/>
    <w:rsid w:val="00BF326A"/>
    <w:rsid w:val="00BF5256"/>
    <w:rsid w:val="00C12D9F"/>
    <w:rsid w:val="00C14B2C"/>
    <w:rsid w:val="00C173CC"/>
    <w:rsid w:val="00C178BB"/>
    <w:rsid w:val="00C22A56"/>
    <w:rsid w:val="00C367A9"/>
    <w:rsid w:val="00C4337A"/>
    <w:rsid w:val="00C46A13"/>
    <w:rsid w:val="00C5725E"/>
    <w:rsid w:val="00C8170B"/>
    <w:rsid w:val="00C913E4"/>
    <w:rsid w:val="00CB48EF"/>
    <w:rsid w:val="00CC1301"/>
    <w:rsid w:val="00CC23E4"/>
    <w:rsid w:val="00CC37A1"/>
    <w:rsid w:val="00CD18D0"/>
    <w:rsid w:val="00CD2C8B"/>
    <w:rsid w:val="00CE637D"/>
    <w:rsid w:val="00CE7335"/>
    <w:rsid w:val="00CF1AD5"/>
    <w:rsid w:val="00CF1CD7"/>
    <w:rsid w:val="00D01F18"/>
    <w:rsid w:val="00D04F37"/>
    <w:rsid w:val="00D16ACE"/>
    <w:rsid w:val="00D179E2"/>
    <w:rsid w:val="00D20CAD"/>
    <w:rsid w:val="00D25209"/>
    <w:rsid w:val="00D411CE"/>
    <w:rsid w:val="00D52745"/>
    <w:rsid w:val="00D83D44"/>
    <w:rsid w:val="00DB5C94"/>
    <w:rsid w:val="00DB7460"/>
    <w:rsid w:val="00DC7B71"/>
    <w:rsid w:val="00DD3AC2"/>
    <w:rsid w:val="00DD5A9F"/>
    <w:rsid w:val="00DE20FF"/>
    <w:rsid w:val="00E044B0"/>
    <w:rsid w:val="00E228AC"/>
    <w:rsid w:val="00E27CF5"/>
    <w:rsid w:val="00E3121C"/>
    <w:rsid w:val="00E42AAF"/>
    <w:rsid w:val="00E63B64"/>
    <w:rsid w:val="00E743B8"/>
    <w:rsid w:val="00E84EF2"/>
    <w:rsid w:val="00EA1414"/>
    <w:rsid w:val="00EB6773"/>
    <w:rsid w:val="00EC03D1"/>
    <w:rsid w:val="00EE0904"/>
    <w:rsid w:val="00EE5DEB"/>
    <w:rsid w:val="00EE72E7"/>
    <w:rsid w:val="00F03259"/>
    <w:rsid w:val="00F20D81"/>
    <w:rsid w:val="00F23117"/>
    <w:rsid w:val="00F26637"/>
    <w:rsid w:val="00F33C7C"/>
    <w:rsid w:val="00F36F74"/>
    <w:rsid w:val="00F520BE"/>
    <w:rsid w:val="00F546CF"/>
    <w:rsid w:val="00F7370F"/>
    <w:rsid w:val="00F906E7"/>
    <w:rsid w:val="00F91918"/>
    <w:rsid w:val="00F954B2"/>
    <w:rsid w:val="00FA1CDE"/>
    <w:rsid w:val="00FC4A60"/>
    <w:rsid w:val="00FD68C2"/>
    <w:rsid w:val="00FE2B4A"/>
    <w:rsid w:val="00FE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9EDF6-5CD9-4930-9D09-6A2B666A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D96"/>
    <w:pPr>
      <w:ind w:left="720"/>
      <w:contextualSpacing/>
    </w:pPr>
  </w:style>
  <w:style w:type="paragraph" w:styleId="Header">
    <w:name w:val="header"/>
    <w:basedOn w:val="Normal"/>
    <w:link w:val="HeaderChar"/>
    <w:uiPriority w:val="99"/>
    <w:unhideWhenUsed/>
    <w:rsid w:val="00BF3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6A"/>
  </w:style>
  <w:style w:type="paragraph" w:styleId="Footer">
    <w:name w:val="footer"/>
    <w:basedOn w:val="Normal"/>
    <w:link w:val="FooterChar"/>
    <w:uiPriority w:val="99"/>
    <w:unhideWhenUsed/>
    <w:rsid w:val="00BF3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1797</TotalTime>
  <Pages>6</Pages>
  <Words>2134</Words>
  <Characters>12465</Characters>
  <Application>Microsoft Office Word</Application>
  <DocSecurity>0</DocSecurity>
  <Lines>204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245</cp:revision>
  <dcterms:created xsi:type="dcterms:W3CDTF">2025-04-24T14:10:00Z</dcterms:created>
  <dcterms:modified xsi:type="dcterms:W3CDTF">2025-04-29T16:23:00Z</dcterms:modified>
</cp:coreProperties>
</file>